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C33044" w14:textId="6145D72D" w:rsidR="008C5101" w:rsidRPr="009A298C" w:rsidRDefault="008C5101">
      <w:pPr>
        <w:pStyle w:val="Title"/>
        <w:rPr>
          <w:rFonts w:asciiTheme="minorHAnsi" w:hAnsiTheme="minorHAnsi"/>
          <w:sz w:val="22"/>
          <w:szCs w:val="22"/>
        </w:rPr>
      </w:pPr>
      <w:bookmarkStart w:id="0" w:name="_GoBack"/>
      <w:bookmarkEnd w:id="0"/>
      <w:r w:rsidRPr="009A298C">
        <w:rPr>
          <w:rFonts w:asciiTheme="minorHAnsi" w:hAnsiTheme="minorHAnsi"/>
          <w:sz w:val="22"/>
          <w:szCs w:val="22"/>
        </w:rPr>
        <w:t>ACEDP LOW</w:t>
      </w:r>
      <w:r w:rsidR="009330C1" w:rsidRPr="009A298C">
        <w:rPr>
          <w:rFonts w:asciiTheme="minorHAnsi" w:hAnsiTheme="minorHAnsi"/>
          <w:sz w:val="22"/>
          <w:szCs w:val="22"/>
        </w:rPr>
        <w:t>-</w:t>
      </w:r>
      <w:r w:rsidRPr="009A298C">
        <w:rPr>
          <w:rFonts w:asciiTheme="minorHAnsi" w:hAnsiTheme="minorHAnsi"/>
          <w:sz w:val="22"/>
          <w:szCs w:val="22"/>
        </w:rPr>
        <w:t xml:space="preserve"> AND MODERATE</w:t>
      </w:r>
      <w:r w:rsidR="009330C1" w:rsidRPr="009A298C">
        <w:rPr>
          <w:rFonts w:asciiTheme="minorHAnsi" w:hAnsiTheme="minorHAnsi"/>
          <w:sz w:val="22"/>
          <w:szCs w:val="22"/>
        </w:rPr>
        <w:t>-</w:t>
      </w:r>
      <w:r w:rsidRPr="009A298C">
        <w:rPr>
          <w:rFonts w:asciiTheme="minorHAnsi" w:hAnsiTheme="minorHAnsi"/>
          <w:sz w:val="22"/>
          <w:szCs w:val="22"/>
        </w:rPr>
        <w:t>INCOME HOOKUPS PROCESS</w:t>
      </w:r>
    </w:p>
    <w:p w14:paraId="24C33045" w14:textId="77777777" w:rsidR="008C5101" w:rsidRPr="009A298C" w:rsidRDefault="008C5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Theme="minorHAnsi" w:hAnsiTheme="minorHAnsi"/>
          <w:b/>
          <w:sz w:val="22"/>
          <w:szCs w:val="22"/>
        </w:rPr>
      </w:pPr>
    </w:p>
    <w:p w14:paraId="24C33046" w14:textId="77777777" w:rsidR="008C5101" w:rsidRPr="009A298C" w:rsidRDefault="008C5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Theme="minorHAnsi" w:hAnsiTheme="minorHAnsi"/>
          <w:b/>
          <w:sz w:val="22"/>
          <w:szCs w:val="22"/>
        </w:rPr>
      </w:pPr>
    </w:p>
    <w:p w14:paraId="24C33047" w14:textId="77777777" w:rsidR="008C5101" w:rsidRPr="009A298C" w:rsidRDefault="008C5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b/>
          <w:sz w:val="22"/>
          <w:szCs w:val="22"/>
        </w:rPr>
      </w:pPr>
      <w:r w:rsidRPr="009A298C">
        <w:rPr>
          <w:rFonts w:asciiTheme="minorHAnsi" w:hAnsiTheme="minorHAnsi"/>
          <w:b/>
          <w:sz w:val="22"/>
          <w:szCs w:val="22"/>
        </w:rPr>
        <w:t>I.</w:t>
      </w:r>
      <w:r w:rsidRPr="009A298C">
        <w:rPr>
          <w:rFonts w:asciiTheme="minorHAnsi" w:hAnsiTheme="minorHAnsi"/>
          <w:b/>
          <w:sz w:val="22"/>
          <w:szCs w:val="22"/>
        </w:rPr>
        <w:tab/>
        <w:t>INTRODUCTION</w:t>
      </w:r>
    </w:p>
    <w:p w14:paraId="24C33048" w14:textId="77777777" w:rsidR="008C5101" w:rsidRPr="009A298C" w:rsidRDefault="008C5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b/>
          <w:sz w:val="22"/>
          <w:szCs w:val="22"/>
        </w:rPr>
      </w:pPr>
    </w:p>
    <w:p w14:paraId="24C33049" w14:textId="52293EBD" w:rsidR="008C5101" w:rsidRPr="009A298C" w:rsidRDefault="008C5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Pr>
          <w:rFonts w:asciiTheme="minorHAnsi" w:hAnsiTheme="minorHAnsi"/>
          <w:sz w:val="22"/>
          <w:szCs w:val="22"/>
        </w:rPr>
      </w:pPr>
      <w:r w:rsidRPr="009A298C">
        <w:rPr>
          <w:rFonts w:asciiTheme="minorHAnsi" w:hAnsiTheme="minorHAnsi"/>
          <w:sz w:val="22"/>
          <w:szCs w:val="22"/>
        </w:rPr>
        <w:t>Use of Arkansas Community and Economic Development Program (ACEDP) funds to connect low</w:t>
      </w:r>
      <w:r w:rsidR="002151FE">
        <w:rPr>
          <w:rFonts w:asciiTheme="minorHAnsi" w:hAnsiTheme="minorHAnsi"/>
          <w:sz w:val="22"/>
          <w:szCs w:val="22"/>
        </w:rPr>
        <w:t>-</w:t>
      </w:r>
      <w:r w:rsidRPr="009A298C">
        <w:rPr>
          <w:rFonts w:asciiTheme="minorHAnsi" w:hAnsiTheme="minorHAnsi"/>
          <w:sz w:val="22"/>
          <w:szCs w:val="22"/>
        </w:rPr>
        <w:t xml:space="preserve"> and moderate-income residents to utility systems is a major consideration of Title I of the Housing and Community Development Act of 1974, as amended.  Sections of this </w:t>
      </w:r>
      <w:r w:rsidR="00AF638C" w:rsidRPr="009A298C">
        <w:rPr>
          <w:rFonts w:asciiTheme="minorHAnsi" w:hAnsiTheme="minorHAnsi"/>
          <w:sz w:val="22"/>
          <w:szCs w:val="22"/>
        </w:rPr>
        <w:t>a</w:t>
      </w:r>
      <w:r w:rsidRPr="009A298C">
        <w:rPr>
          <w:rFonts w:asciiTheme="minorHAnsi" w:hAnsiTheme="minorHAnsi"/>
          <w:sz w:val="22"/>
          <w:szCs w:val="22"/>
        </w:rPr>
        <w:t>ct define restrictions concerning collection of special assessments (e.g., tap fees, connection fees, etc.) to recover capital costs of construction as a condition of access to public services.</w:t>
      </w:r>
    </w:p>
    <w:p w14:paraId="24C3304A" w14:textId="77777777" w:rsidR="008C5101" w:rsidRPr="009A298C" w:rsidRDefault="008C5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sz w:val="22"/>
          <w:szCs w:val="22"/>
        </w:rPr>
      </w:pPr>
    </w:p>
    <w:p w14:paraId="24C3304B" w14:textId="77777777" w:rsidR="008C5101" w:rsidRPr="009A298C" w:rsidRDefault="008C5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Pr>
          <w:rFonts w:asciiTheme="minorHAnsi" w:hAnsiTheme="minorHAnsi"/>
          <w:sz w:val="22"/>
          <w:szCs w:val="22"/>
        </w:rPr>
      </w:pPr>
      <w:r w:rsidRPr="009A298C">
        <w:rPr>
          <w:rFonts w:asciiTheme="minorHAnsi" w:hAnsiTheme="minorHAnsi"/>
          <w:sz w:val="22"/>
          <w:szCs w:val="22"/>
        </w:rPr>
        <w:t>When ACEDP funds are used to pay all or part of the cost of a public improvement, special assessments may be imposed only as follows:</w:t>
      </w:r>
    </w:p>
    <w:p w14:paraId="24C3304C" w14:textId="77777777" w:rsidR="008C5101" w:rsidRPr="009A298C" w:rsidRDefault="008C5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Pr>
          <w:rFonts w:asciiTheme="minorHAnsi" w:hAnsiTheme="minorHAnsi"/>
          <w:sz w:val="22"/>
          <w:szCs w:val="22"/>
        </w:rPr>
      </w:pPr>
    </w:p>
    <w:p w14:paraId="24C3304D" w14:textId="4C742DCB" w:rsidR="008C5101" w:rsidRPr="009A298C" w:rsidRDefault="008C5101" w:rsidP="008C5101">
      <w:pPr>
        <w:numPr>
          <w:ilvl w:val="0"/>
          <w:numId w:val="18"/>
        </w:numPr>
        <w:tabs>
          <w:tab w:val="clear" w:pos="360"/>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080"/>
        <w:rPr>
          <w:rFonts w:asciiTheme="minorHAnsi" w:hAnsiTheme="minorHAnsi"/>
          <w:sz w:val="22"/>
          <w:szCs w:val="22"/>
        </w:rPr>
      </w:pPr>
      <w:r w:rsidRPr="009A298C">
        <w:rPr>
          <w:rFonts w:asciiTheme="minorHAnsi" w:hAnsiTheme="minorHAnsi"/>
          <w:sz w:val="22"/>
          <w:szCs w:val="22"/>
        </w:rPr>
        <w:t xml:space="preserve">Special assessments to recover ACEDP-funded project improvements may be made only against properties owned and/or occupied by persons </w:t>
      </w:r>
      <w:r w:rsidRPr="009A298C">
        <w:rPr>
          <w:rFonts w:asciiTheme="minorHAnsi" w:hAnsiTheme="minorHAnsi"/>
          <w:b/>
          <w:sz w:val="22"/>
          <w:szCs w:val="22"/>
        </w:rPr>
        <w:t>not</w:t>
      </w:r>
      <w:r w:rsidRPr="009A298C">
        <w:rPr>
          <w:rFonts w:asciiTheme="minorHAnsi" w:hAnsiTheme="minorHAnsi"/>
          <w:sz w:val="22"/>
          <w:szCs w:val="22"/>
        </w:rPr>
        <w:t xml:space="preserve"> of low</w:t>
      </w:r>
      <w:r w:rsidR="002151FE">
        <w:rPr>
          <w:rFonts w:asciiTheme="minorHAnsi" w:hAnsiTheme="minorHAnsi"/>
          <w:sz w:val="22"/>
          <w:szCs w:val="22"/>
        </w:rPr>
        <w:t>-</w:t>
      </w:r>
      <w:r w:rsidRPr="009A298C">
        <w:rPr>
          <w:rFonts w:asciiTheme="minorHAnsi" w:hAnsiTheme="minorHAnsi"/>
          <w:sz w:val="22"/>
          <w:szCs w:val="22"/>
        </w:rPr>
        <w:t xml:space="preserve"> or moderate</w:t>
      </w:r>
      <w:r w:rsidR="002151FE">
        <w:rPr>
          <w:rFonts w:asciiTheme="minorHAnsi" w:hAnsiTheme="minorHAnsi"/>
          <w:sz w:val="22"/>
          <w:szCs w:val="22"/>
        </w:rPr>
        <w:t>-</w:t>
      </w:r>
      <w:r w:rsidRPr="009A298C">
        <w:rPr>
          <w:rFonts w:asciiTheme="minorHAnsi" w:hAnsiTheme="minorHAnsi"/>
          <w:sz w:val="22"/>
          <w:szCs w:val="22"/>
        </w:rPr>
        <w:t xml:space="preserve"> income. However, such assessments constitute program income and are governed by ACEDP program income policies.</w:t>
      </w:r>
    </w:p>
    <w:p w14:paraId="24C3304E" w14:textId="1666E3DF" w:rsidR="008C5101" w:rsidRPr="009A298C" w:rsidRDefault="008C510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sz w:val="22"/>
          <w:szCs w:val="22"/>
        </w:rPr>
      </w:pPr>
      <w:r w:rsidRPr="009A298C">
        <w:rPr>
          <w:rFonts w:asciiTheme="minorHAnsi" w:hAnsiTheme="minorHAnsi"/>
          <w:sz w:val="22"/>
          <w:szCs w:val="22"/>
        </w:rPr>
        <w:t>Special assessments to recover the non-ACEDP portion of capital costs may be levied only if ACEDP funds are used to pay the special assessment on behalf of all properties owned and/or occupied by persons of low</w:t>
      </w:r>
      <w:r w:rsidR="002151FE">
        <w:rPr>
          <w:rFonts w:asciiTheme="minorHAnsi" w:hAnsiTheme="minorHAnsi"/>
          <w:sz w:val="22"/>
          <w:szCs w:val="22"/>
        </w:rPr>
        <w:t>-</w:t>
      </w:r>
      <w:r w:rsidRPr="009A298C">
        <w:rPr>
          <w:rFonts w:asciiTheme="minorHAnsi" w:hAnsiTheme="minorHAnsi"/>
          <w:sz w:val="22"/>
          <w:szCs w:val="22"/>
        </w:rPr>
        <w:t xml:space="preserve"> and moderate</w:t>
      </w:r>
      <w:r w:rsidR="002151FE">
        <w:rPr>
          <w:rFonts w:asciiTheme="minorHAnsi" w:hAnsiTheme="minorHAnsi"/>
          <w:sz w:val="22"/>
          <w:szCs w:val="22"/>
        </w:rPr>
        <w:t>-</w:t>
      </w:r>
      <w:r w:rsidRPr="009A298C">
        <w:rPr>
          <w:rFonts w:asciiTheme="minorHAnsi" w:hAnsiTheme="minorHAnsi"/>
          <w:sz w:val="22"/>
          <w:szCs w:val="22"/>
        </w:rPr>
        <w:t>income, except that ACEDP funds need not be used to pay the special assessments on behalf of properties owned and occupied by moderate</w:t>
      </w:r>
      <w:r w:rsidR="002151FE">
        <w:rPr>
          <w:rFonts w:asciiTheme="minorHAnsi" w:hAnsiTheme="minorHAnsi"/>
          <w:sz w:val="22"/>
          <w:szCs w:val="22"/>
        </w:rPr>
        <w:t>-</w:t>
      </w:r>
      <w:r w:rsidRPr="009A298C">
        <w:rPr>
          <w:rFonts w:asciiTheme="minorHAnsi" w:hAnsiTheme="minorHAnsi"/>
          <w:sz w:val="22"/>
          <w:szCs w:val="22"/>
        </w:rPr>
        <w:t xml:space="preserve">income persons if it is determined that there are not sufficient ACEDP funds to pay the assessments on behalf of all of the </w:t>
      </w:r>
      <w:r w:rsidR="00A35135">
        <w:rPr>
          <w:rFonts w:asciiTheme="minorHAnsi" w:hAnsiTheme="minorHAnsi"/>
          <w:sz w:val="22"/>
          <w:szCs w:val="22"/>
        </w:rPr>
        <w:t>low- and moderate-income</w:t>
      </w:r>
      <w:r w:rsidRPr="009A298C">
        <w:rPr>
          <w:rFonts w:asciiTheme="minorHAnsi" w:hAnsiTheme="minorHAnsi"/>
          <w:sz w:val="22"/>
          <w:szCs w:val="22"/>
        </w:rPr>
        <w:t xml:space="preserve"> owner/occupant persons.</w:t>
      </w:r>
    </w:p>
    <w:p w14:paraId="24C3304F" w14:textId="77777777" w:rsidR="008C5101" w:rsidRPr="009A298C" w:rsidRDefault="008C5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Pr>
          <w:rFonts w:asciiTheme="minorHAnsi" w:hAnsiTheme="minorHAnsi"/>
          <w:sz w:val="22"/>
          <w:szCs w:val="22"/>
        </w:rPr>
      </w:pPr>
    </w:p>
    <w:p w14:paraId="24C33050" w14:textId="77777777" w:rsidR="008C5101" w:rsidRPr="009A298C" w:rsidRDefault="008C5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Pr>
          <w:rFonts w:asciiTheme="minorHAnsi" w:hAnsiTheme="minorHAnsi"/>
          <w:sz w:val="22"/>
          <w:szCs w:val="22"/>
        </w:rPr>
      </w:pPr>
      <w:r w:rsidRPr="009A298C">
        <w:rPr>
          <w:rFonts w:asciiTheme="minorHAnsi" w:hAnsiTheme="minorHAnsi"/>
          <w:sz w:val="22"/>
          <w:szCs w:val="22"/>
        </w:rPr>
        <w:t>This prohibition does not apply to user charges (operation, maintenance and replacement charges) collected as a result of using the system.</w:t>
      </w:r>
    </w:p>
    <w:p w14:paraId="24C33051" w14:textId="77777777" w:rsidR="008C5101" w:rsidRPr="009A298C" w:rsidRDefault="008C5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Pr>
          <w:rFonts w:asciiTheme="minorHAnsi" w:hAnsiTheme="minorHAnsi"/>
          <w:sz w:val="22"/>
          <w:szCs w:val="22"/>
        </w:rPr>
      </w:pPr>
    </w:p>
    <w:p w14:paraId="24C33052" w14:textId="7077C044" w:rsidR="008C5101" w:rsidRPr="009A298C" w:rsidRDefault="008C5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Pr>
          <w:rFonts w:asciiTheme="minorHAnsi" w:hAnsiTheme="minorHAnsi"/>
          <w:sz w:val="22"/>
          <w:szCs w:val="22"/>
        </w:rPr>
      </w:pPr>
      <w:r w:rsidRPr="009A298C">
        <w:rPr>
          <w:rFonts w:asciiTheme="minorHAnsi" w:hAnsiTheme="minorHAnsi"/>
          <w:sz w:val="22"/>
          <w:szCs w:val="22"/>
        </w:rPr>
        <w:t>The following section defines each of the typical steps required to identify and provide utility hookups to low</w:t>
      </w:r>
      <w:r w:rsidR="002151FE">
        <w:rPr>
          <w:rFonts w:asciiTheme="minorHAnsi" w:hAnsiTheme="minorHAnsi"/>
          <w:sz w:val="22"/>
          <w:szCs w:val="22"/>
        </w:rPr>
        <w:t>-</w:t>
      </w:r>
      <w:r w:rsidRPr="009A298C">
        <w:rPr>
          <w:rFonts w:asciiTheme="minorHAnsi" w:hAnsiTheme="minorHAnsi"/>
          <w:sz w:val="22"/>
          <w:szCs w:val="22"/>
        </w:rPr>
        <w:t xml:space="preserve"> and moderate</w:t>
      </w:r>
      <w:r w:rsidR="002151FE">
        <w:rPr>
          <w:rFonts w:asciiTheme="minorHAnsi" w:hAnsiTheme="minorHAnsi"/>
          <w:sz w:val="22"/>
          <w:szCs w:val="22"/>
        </w:rPr>
        <w:t>-</w:t>
      </w:r>
      <w:r w:rsidRPr="009A298C">
        <w:rPr>
          <w:rFonts w:asciiTheme="minorHAnsi" w:hAnsiTheme="minorHAnsi"/>
          <w:sz w:val="22"/>
          <w:szCs w:val="22"/>
        </w:rPr>
        <w:t>income beneficiaries.  Because hookup construction occurs on private property, these contracts differ somewhat from public works contracts.  The differences are noted below as they apply to each step.</w:t>
      </w:r>
    </w:p>
    <w:p w14:paraId="24C33053" w14:textId="77777777" w:rsidR="008C5101" w:rsidRPr="009A298C" w:rsidRDefault="008C5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Pr>
          <w:rFonts w:asciiTheme="minorHAnsi" w:hAnsiTheme="minorHAnsi"/>
          <w:sz w:val="22"/>
          <w:szCs w:val="22"/>
        </w:rPr>
      </w:pPr>
    </w:p>
    <w:p w14:paraId="24C33058" w14:textId="60D6FEB6" w:rsidR="008C5101" w:rsidRPr="009A298C" w:rsidRDefault="00871DA0" w:rsidP="009A29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Pr>
          <w:rFonts w:asciiTheme="minorHAnsi" w:hAnsiTheme="minorHAnsi"/>
          <w:b/>
          <w:sz w:val="22"/>
          <w:szCs w:val="22"/>
        </w:rPr>
      </w:pPr>
      <w:r w:rsidRPr="009A298C">
        <w:rPr>
          <w:rFonts w:asciiTheme="minorHAnsi" w:hAnsiTheme="minorHAnsi"/>
          <w:sz w:val="22"/>
          <w:szCs w:val="22"/>
        </w:rPr>
        <w:t>For contracts in excess of $20,000, o</w:t>
      </w:r>
      <w:r w:rsidR="008C5101" w:rsidRPr="009A298C">
        <w:rPr>
          <w:rFonts w:asciiTheme="minorHAnsi" w:hAnsiTheme="minorHAnsi"/>
          <w:sz w:val="22"/>
          <w:szCs w:val="22"/>
        </w:rPr>
        <w:t>nly licensed contractors may be awarded ACEDP-funded plumbing hookup contracts.  All work must be completed in accordance with the Arkansas State Plumbing Code unless variance has been permitted by the Arkansas Department of Health</w:t>
      </w:r>
      <w:r w:rsidR="0066170F" w:rsidRPr="009A298C">
        <w:rPr>
          <w:rFonts w:asciiTheme="minorHAnsi" w:hAnsiTheme="minorHAnsi"/>
          <w:sz w:val="22"/>
          <w:szCs w:val="22"/>
        </w:rPr>
        <w:t xml:space="preserve"> (</w:t>
      </w:r>
      <w:r w:rsidR="008B02C1" w:rsidRPr="009A298C">
        <w:rPr>
          <w:rFonts w:asciiTheme="minorHAnsi" w:hAnsiTheme="minorHAnsi"/>
          <w:sz w:val="22"/>
          <w:szCs w:val="22"/>
        </w:rPr>
        <w:t>ADH</w:t>
      </w:r>
      <w:r w:rsidR="0066170F" w:rsidRPr="009A298C">
        <w:rPr>
          <w:rFonts w:asciiTheme="minorHAnsi" w:hAnsiTheme="minorHAnsi"/>
          <w:sz w:val="22"/>
          <w:szCs w:val="22"/>
        </w:rPr>
        <w:t>)</w:t>
      </w:r>
      <w:r w:rsidR="008C5101" w:rsidRPr="009A298C">
        <w:rPr>
          <w:rFonts w:asciiTheme="minorHAnsi" w:hAnsiTheme="minorHAnsi"/>
          <w:sz w:val="22"/>
          <w:szCs w:val="22"/>
        </w:rPr>
        <w:t>.</w:t>
      </w:r>
    </w:p>
    <w:p w14:paraId="24C33059" w14:textId="77777777" w:rsidR="008C5101" w:rsidRPr="009A298C" w:rsidRDefault="008C5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b/>
          <w:sz w:val="22"/>
          <w:szCs w:val="22"/>
        </w:rPr>
      </w:pPr>
    </w:p>
    <w:p w14:paraId="24C3305A" w14:textId="77777777" w:rsidR="008C5101" w:rsidRPr="009A298C" w:rsidRDefault="008C5101">
      <w:pPr>
        <w:pStyle w:val="Heading3"/>
        <w:rPr>
          <w:rFonts w:asciiTheme="minorHAnsi" w:hAnsiTheme="minorHAnsi"/>
          <w:sz w:val="22"/>
          <w:szCs w:val="22"/>
        </w:rPr>
      </w:pPr>
      <w:r w:rsidRPr="009A298C">
        <w:rPr>
          <w:rFonts w:asciiTheme="minorHAnsi" w:hAnsiTheme="minorHAnsi"/>
          <w:sz w:val="22"/>
          <w:szCs w:val="22"/>
        </w:rPr>
        <w:t>II.</w:t>
      </w:r>
      <w:r w:rsidRPr="009A298C">
        <w:rPr>
          <w:rFonts w:asciiTheme="minorHAnsi" w:hAnsiTheme="minorHAnsi"/>
          <w:sz w:val="22"/>
          <w:szCs w:val="22"/>
        </w:rPr>
        <w:tab/>
        <w:t>HOOKUP STEPS</w:t>
      </w:r>
    </w:p>
    <w:p w14:paraId="24C3305B" w14:textId="77777777" w:rsidR="008C5101" w:rsidRPr="009A298C" w:rsidRDefault="008C5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b/>
          <w:sz w:val="22"/>
          <w:szCs w:val="22"/>
        </w:rPr>
      </w:pPr>
    </w:p>
    <w:p w14:paraId="24C3305C" w14:textId="263AAAB5" w:rsidR="008C5101" w:rsidRPr="009A298C" w:rsidRDefault="008C5101" w:rsidP="008C5101">
      <w:pPr>
        <w:numPr>
          <w:ilvl w:val="0"/>
          <w:numId w:val="19"/>
        </w:numPr>
        <w:tabs>
          <w:tab w:val="clear" w:pos="1512"/>
          <w:tab w:val="left" w:pos="720"/>
          <w:tab w:val="num" w:pos="1350"/>
          <w:tab w:val="left" w:pos="2880"/>
          <w:tab w:val="left" w:pos="5760"/>
          <w:tab w:val="left" w:pos="6480"/>
          <w:tab w:val="left" w:pos="7200"/>
          <w:tab w:val="left" w:pos="7920"/>
          <w:tab w:val="left" w:pos="8640"/>
        </w:tabs>
        <w:suppressAutoHyphens/>
        <w:ind w:left="1350" w:hanging="630"/>
        <w:rPr>
          <w:rFonts w:asciiTheme="minorHAnsi" w:hAnsiTheme="minorHAnsi"/>
          <w:sz w:val="22"/>
          <w:szCs w:val="22"/>
        </w:rPr>
      </w:pPr>
      <w:r w:rsidRPr="009A298C">
        <w:rPr>
          <w:rFonts w:asciiTheme="minorHAnsi" w:hAnsiTheme="minorHAnsi"/>
          <w:b/>
          <w:sz w:val="22"/>
          <w:szCs w:val="22"/>
        </w:rPr>
        <w:t>Determine eligible costs.</w:t>
      </w:r>
      <w:r w:rsidRPr="009A298C">
        <w:rPr>
          <w:rFonts w:asciiTheme="minorHAnsi" w:hAnsiTheme="minorHAnsi"/>
          <w:sz w:val="22"/>
          <w:szCs w:val="22"/>
        </w:rPr>
        <w:t xml:space="preserve">  Generally, hookup costs eligible for ACEDP funding include service lines, tap/connection fees, hookup charges, meter installation costs, inspection fees, disposal and/or installation of septic systems, limited indoor plumbing improvements, and any other costs involving income-eligible beneficiaries resulting from requirements imposed by </w:t>
      </w:r>
      <w:r w:rsidR="0056250F" w:rsidRPr="009A298C">
        <w:rPr>
          <w:rFonts w:asciiTheme="minorHAnsi" w:hAnsiTheme="minorHAnsi"/>
          <w:sz w:val="22"/>
          <w:szCs w:val="22"/>
        </w:rPr>
        <w:t xml:space="preserve">the Arkansas Department </w:t>
      </w:r>
      <w:r w:rsidR="0056250F" w:rsidRPr="009A298C">
        <w:rPr>
          <w:rFonts w:asciiTheme="minorHAnsi" w:hAnsiTheme="minorHAnsi"/>
          <w:sz w:val="22"/>
          <w:szCs w:val="22"/>
        </w:rPr>
        <w:lastRenderedPageBreak/>
        <w:t>of Health (ADH)</w:t>
      </w:r>
      <w:r w:rsidRPr="009A298C">
        <w:rPr>
          <w:rFonts w:asciiTheme="minorHAnsi" w:hAnsiTheme="minorHAnsi"/>
          <w:sz w:val="22"/>
          <w:szCs w:val="22"/>
        </w:rPr>
        <w:t xml:space="preserve">.  (See Arkansas Economic Development </w:t>
      </w:r>
      <w:r w:rsidR="00893365" w:rsidRPr="009A298C">
        <w:rPr>
          <w:rFonts w:asciiTheme="minorHAnsi" w:hAnsiTheme="minorHAnsi"/>
          <w:sz w:val="22"/>
          <w:szCs w:val="22"/>
        </w:rPr>
        <w:t xml:space="preserve">Commission </w:t>
      </w:r>
      <w:r w:rsidR="008207F1" w:rsidRPr="009A298C">
        <w:rPr>
          <w:rFonts w:asciiTheme="minorHAnsi" w:hAnsiTheme="minorHAnsi"/>
          <w:sz w:val="22"/>
          <w:szCs w:val="22"/>
        </w:rPr>
        <w:t>h</w:t>
      </w:r>
      <w:r w:rsidRPr="009A298C">
        <w:rPr>
          <w:rFonts w:asciiTheme="minorHAnsi" w:hAnsiTheme="minorHAnsi"/>
          <w:sz w:val="22"/>
          <w:szCs w:val="22"/>
        </w:rPr>
        <w:t xml:space="preserve">ookup </w:t>
      </w:r>
      <w:r w:rsidR="008207F1" w:rsidRPr="009A298C">
        <w:rPr>
          <w:rFonts w:asciiTheme="minorHAnsi" w:hAnsiTheme="minorHAnsi"/>
          <w:sz w:val="22"/>
          <w:szCs w:val="22"/>
        </w:rPr>
        <w:t>p</w:t>
      </w:r>
      <w:r w:rsidRPr="009A298C">
        <w:rPr>
          <w:rFonts w:asciiTheme="minorHAnsi" w:hAnsiTheme="minorHAnsi"/>
          <w:sz w:val="22"/>
          <w:szCs w:val="22"/>
        </w:rPr>
        <w:t>olicies on page 6 for further discussion of eligible costs.)</w:t>
      </w:r>
    </w:p>
    <w:p w14:paraId="24C3305D" w14:textId="77777777" w:rsidR="008C5101" w:rsidRPr="009A298C" w:rsidRDefault="008C510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360"/>
        <w:rPr>
          <w:rFonts w:asciiTheme="minorHAnsi" w:hAnsiTheme="minorHAnsi"/>
          <w:sz w:val="22"/>
          <w:szCs w:val="22"/>
        </w:rPr>
      </w:pPr>
    </w:p>
    <w:p w14:paraId="24C3305E" w14:textId="77777777" w:rsidR="008C5101" w:rsidRPr="009A298C" w:rsidRDefault="008C510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350"/>
        <w:rPr>
          <w:rFonts w:asciiTheme="minorHAnsi" w:hAnsiTheme="minorHAnsi"/>
          <w:sz w:val="22"/>
          <w:szCs w:val="22"/>
        </w:rPr>
      </w:pPr>
      <w:r w:rsidRPr="009A298C">
        <w:rPr>
          <w:rFonts w:asciiTheme="minorHAnsi" w:hAnsiTheme="minorHAnsi"/>
          <w:sz w:val="22"/>
          <w:szCs w:val="22"/>
        </w:rPr>
        <w:t xml:space="preserve">Costs for appliances, appurtenances and repairs to existing plumbing may or may not be grant-eligible depending upon conditions specified in your grant agreement. A thorough understanding of eligible costs is necessary prior to completion of work “write-ups”.  Equitable provision of services should be a major component in determining the scope of work to be completed and should be communicated to all proposed beneficiaries as policy.  All questions regarding eligibility should be referred to the </w:t>
      </w:r>
      <w:r w:rsidR="008207F1" w:rsidRPr="009A298C">
        <w:rPr>
          <w:rFonts w:asciiTheme="minorHAnsi" w:hAnsiTheme="minorHAnsi"/>
          <w:sz w:val="22"/>
          <w:szCs w:val="22"/>
        </w:rPr>
        <w:t>g</w:t>
      </w:r>
      <w:r w:rsidRPr="009A298C">
        <w:rPr>
          <w:rFonts w:asciiTheme="minorHAnsi" w:hAnsiTheme="minorHAnsi"/>
          <w:sz w:val="22"/>
          <w:szCs w:val="22"/>
        </w:rPr>
        <w:t xml:space="preserve">rants </w:t>
      </w:r>
      <w:r w:rsidR="008207F1" w:rsidRPr="009A298C">
        <w:rPr>
          <w:rFonts w:asciiTheme="minorHAnsi" w:hAnsiTheme="minorHAnsi"/>
          <w:sz w:val="22"/>
          <w:szCs w:val="22"/>
        </w:rPr>
        <w:t>m</w:t>
      </w:r>
      <w:r w:rsidRPr="009A298C">
        <w:rPr>
          <w:rFonts w:asciiTheme="minorHAnsi" w:hAnsiTheme="minorHAnsi"/>
          <w:sz w:val="22"/>
          <w:szCs w:val="22"/>
        </w:rPr>
        <w:t xml:space="preserve">anager prior to the completion of work write-ups.  </w:t>
      </w:r>
      <w:r w:rsidRPr="009A298C">
        <w:rPr>
          <w:rFonts w:asciiTheme="minorHAnsi" w:hAnsiTheme="minorHAnsi"/>
          <w:b/>
          <w:sz w:val="22"/>
          <w:szCs w:val="22"/>
        </w:rPr>
        <w:t xml:space="preserve">Meter deposits or other non-refundable deposits are not grant-eligible. </w:t>
      </w:r>
      <w:r w:rsidRPr="009A298C">
        <w:rPr>
          <w:rFonts w:asciiTheme="minorHAnsi" w:hAnsiTheme="minorHAnsi"/>
          <w:sz w:val="22"/>
          <w:szCs w:val="22"/>
        </w:rPr>
        <w:t xml:space="preserve">Connections to multi-family residences entail specific eligibility requirements, which should be discussed with the </w:t>
      </w:r>
      <w:r w:rsidR="008207F1" w:rsidRPr="009A298C">
        <w:rPr>
          <w:rFonts w:asciiTheme="minorHAnsi" w:hAnsiTheme="minorHAnsi"/>
          <w:sz w:val="22"/>
          <w:szCs w:val="22"/>
        </w:rPr>
        <w:t>g</w:t>
      </w:r>
      <w:r w:rsidRPr="009A298C">
        <w:rPr>
          <w:rFonts w:asciiTheme="minorHAnsi" w:hAnsiTheme="minorHAnsi"/>
          <w:sz w:val="22"/>
          <w:szCs w:val="22"/>
        </w:rPr>
        <w:t xml:space="preserve">rants </w:t>
      </w:r>
      <w:r w:rsidR="008207F1" w:rsidRPr="009A298C">
        <w:rPr>
          <w:rFonts w:asciiTheme="minorHAnsi" w:hAnsiTheme="minorHAnsi"/>
          <w:sz w:val="22"/>
          <w:szCs w:val="22"/>
        </w:rPr>
        <w:t>m</w:t>
      </w:r>
      <w:r w:rsidRPr="009A298C">
        <w:rPr>
          <w:rFonts w:asciiTheme="minorHAnsi" w:hAnsiTheme="minorHAnsi"/>
          <w:sz w:val="22"/>
          <w:szCs w:val="22"/>
        </w:rPr>
        <w:t>anager prior to completion of work write-ups.</w:t>
      </w:r>
    </w:p>
    <w:p w14:paraId="24C3305F" w14:textId="77777777" w:rsidR="008C5101" w:rsidRPr="009A298C" w:rsidRDefault="008C510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350"/>
        <w:rPr>
          <w:rFonts w:asciiTheme="minorHAnsi" w:hAnsiTheme="minorHAnsi"/>
          <w:sz w:val="22"/>
          <w:szCs w:val="22"/>
        </w:rPr>
      </w:pPr>
    </w:p>
    <w:p w14:paraId="24C33060" w14:textId="3DC6773A" w:rsidR="008C5101" w:rsidRPr="009A298C" w:rsidRDefault="008C5101">
      <w:pPr>
        <w:numPr>
          <w:ilvl w:val="12"/>
          <w:numId w:val="0"/>
        </w:numPr>
        <w:tabs>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suppressAutoHyphens/>
        <w:ind w:left="1350" w:hanging="630"/>
        <w:rPr>
          <w:rFonts w:asciiTheme="minorHAnsi" w:hAnsiTheme="minorHAnsi"/>
          <w:sz w:val="22"/>
          <w:szCs w:val="22"/>
        </w:rPr>
      </w:pPr>
      <w:r w:rsidRPr="009A298C">
        <w:rPr>
          <w:rFonts w:asciiTheme="minorHAnsi" w:hAnsiTheme="minorHAnsi"/>
          <w:sz w:val="22"/>
          <w:szCs w:val="22"/>
        </w:rPr>
        <w:t xml:space="preserve">B.       </w:t>
      </w:r>
      <w:r w:rsidRPr="009A298C">
        <w:rPr>
          <w:rFonts w:asciiTheme="minorHAnsi" w:hAnsiTheme="minorHAnsi"/>
          <w:b/>
          <w:sz w:val="22"/>
          <w:szCs w:val="22"/>
        </w:rPr>
        <w:t>Notify all potential Low</w:t>
      </w:r>
      <w:r w:rsidR="009330C1" w:rsidRPr="009A298C">
        <w:rPr>
          <w:rFonts w:asciiTheme="minorHAnsi" w:hAnsiTheme="minorHAnsi"/>
          <w:b/>
          <w:sz w:val="22"/>
          <w:szCs w:val="22"/>
        </w:rPr>
        <w:t>-</w:t>
      </w:r>
      <w:r w:rsidRPr="009A298C">
        <w:rPr>
          <w:rFonts w:asciiTheme="minorHAnsi" w:hAnsiTheme="minorHAnsi"/>
          <w:b/>
          <w:sz w:val="22"/>
          <w:szCs w:val="22"/>
        </w:rPr>
        <w:t xml:space="preserve"> and Moderate</w:t>
      </w:r>
      <w:r w:rsidR="009330C1" w:rsidRPr="009A298C">
        <w:rPr>
          <w:rFonts w:asciiTheme="minorHAnsi" w:hAnsiTheme="minorHAnsi"/>
          <w:b/>
          <w:sz w:val="22"/>
          <w:szCs w:val="22"/>
        </w:rPr>
        <w:t>-</w:t>
      </w:r>
      <w:r w:rsidRPr="009A298C">
        <w:rPr>
          <w:rFonts w:asciiTheme="minorHAnsi" w:hAnsiTheme="minorHAnsi"/>
          <w:b/>
          <w:sz w:val="22"/>
          <w:szCs w:val="22"/>
        </w:rPr>
        <w:t>Income (LMI) residents</w:t>
      </w:r>
      <w:r w:rsidRPr="009A298C">
        <w:rPr>
          <w:rFonts w:asciiTheme="minorHAnsi" w:hAnsiTheme="minorHAnsi"/>
          <w:sz w:val="22"/>
          <w:szCs w:val="22"/>
        </w:rPr>
        <w:t xml:space="preserve"> that applications for free plumbing hookups are being accepted.  Be sure that a cut-off date for application submission is included as part of the notification.  As discussed below, it is advisable that a variety of notification methods be utilized.  Suggested methods include</w:t>
      </w:r>
      <w:r w:rsidR="0056250F" w:rsidRPr="009A298C">
        <w:rPr>
          <w:rFonts w:asciiTheme="minorHAnsi" w:hAnsiTheme="minorHAnsi"/>
          <w:sz w:val="22"/>
          <w:szCs w:val="22"/>
        </w:rPr>
        <w:t>:</w:t>
      </w:r>
    </w:p>
    <w:p w14:paraId="24C33061" w14:textId="77777777" w:rsidR="008C5101" w:rsidRPr="009A298C" w:rsidRDefault="008C5101">
      <w:pPr>
        <w:pStyle w:val="End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sz w:val="22"/>
          <w:szCs w:val="22"/>
        </w:rPr>
      </w:pPr>
    </w:p>
    <w:p w14:paraId="24C33062" w14:textId="77777777" w:rsidR="008C5101" w:rsidRPr="009A298C" w:rsidRDefault="008C510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800" w:hanging="450"/>
        <w:rPr>
          <w:rFonts w:asciiTheme="minorHAnsi" w:hAnsiTheme="minorHAnsi"/>
          <w:sz w:val="22"/>
          <w:szCs w:val="22"/>
        </w:rPr>
      </w:pPr>
      <w:r w:rsidRPr="009A298C">
        <w:rPr>
          <w:rFonts w:asciiTheme="minorHAnsi" w:hAnsiTheme="minorHAnsi"/>
          <w:b/>
          <w:sz w:val="22"/>
          <w:szCs w:val="22"/>
        </w:rPr>
        <w:t>Direct door-to-door solicitation of all project beneficiaries</w:t>
      </w:r>
      <w:r w:rsidRPr="009A298C">
        <w:rPr>
          <w:rFonts w:asciiTheme="minorHAnsi" w:hAnsiTheme="minorHAnsi"/>
          <w:sz w:val="22"/>
          <w:szCs w:val="22"/>
        </w:rPr>
        <w:t>.  This process is the most comprehensive and effective method, especially in solicitation of elderly residents, and will suffice without further notification efforts.  Mail-outs indicating acceptance of hookup applications to non-responsive residents will need to be made.</w:t>
      </w:r>
    </w:p>
    <w:p w14:paraId="24C33063" w14:textId="77777777" w:rsidR="008C5101" w:rsidRPr="009A298C" w:rsidRDefault="008C5101">
      <w:pPr>
        <w:numPr>
          <w:ilvl w:val="0"/>
          <w:numId w:val="1"/>
        </w:numPr>
        <w:tabs>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s>
        <w:suppressAutoHyphens/>
        <w:ind w:left="1800" w:hanging="450"/>
        <w:rPr>
          <w:rFonts w:asciiTheme="minorHAnsi" w:hAnsiTheme="minorHAnsi"/>
          <w:sz w:val="22"/>
          <w:szCs w:val="22"/>
        </w:rPr>
      </w:pPr>
      <w:r w:rsidRPr="009A298C">
        <w:rPr>
          <w:rFonts w:asciiTheme="minorHAnsi" w:hAnsiTheme="minorHAnsi"/>
          <w:b/>
          <w:sz w:val="22"/>
          <w:szCs w:val="22"/>
        </w:rPr>
        <w:t>Direct mailings/flyers to potential beneficiaries</w:t>
      </w:r>
      <w:r w:rsidRPr="009A298C">
        <w:rPr>
          <w:rFonts w:asciiTheme="minorHAnsi" w:hAnsiTheme="minorHAnsi"/>
          <w:sz w:val="22"/>
          <w:szCs w:val="22"/>
        </w:rPr>
        <w:t>.  Although this method is effective, strict reliance on initial income survey data to identify proposed beneficiaries may be misleading because survey information may change due to death, migration, vacancy, changes or corrections in income information, and/or potential responses from residents who did not respond to the initial survey.  For these reasons, it is advisable to issue at least one public notification so that all potential beneficiaries are notified.</w:t>
      </w:r>
    </w:p>
    <w:p w14:paraId="24C33065" w14:textId="77777777" w:rsidR="000948AF" w:rsidRPr="009A298C" w:rsidRDefault="000948AF" w:rsidP="000948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right="-126"/>
        <w:rPr>
          <w:rFonts w:asciiTheme="minorHAnsi" w:hAnsiTheme="minorHAnsi"/>
          <w:sz w:val="22"/>
          <w:szCs w:val="22"/>
        </w:rPr>
      </w:pPr>
    </w:p>
    <w:p w14:paraId="24C33066" w14:textId="77777777" w:rsidR="008C5101" w:rsidRPr="009A298C" w:rsidRDefault="008C510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800" w:right="-126" w:hanging="450"/>
        <w:rPr>
          <w:rFonts w:asciiTheme="minorHAnsi" w:hAnsiTheme="minorHAnsi"/>
          <w:sz w:val="22"/>
          <w:szCs w:val="22"/>
        </w:rPr>
      </w:pPr>
      <w:r w:rsidRPr="009A298C">
        <w:rPr>
          <w:rFonts w:asciiTheme="minorHAnsi" w:hAnsiTheme="minorHAnsi"/>
          <w:b/>
          <w:sz w:val="22"/>
          <w:szCs w:val="22"/>
        </w:rPr>
        <w:t>Public notification through newspaper and radio advertisements or notifications posted in at least five public places, if no newspaper or radio access is generally available to beneficiaries</w:t>
      </w:r>
      <w:r w:rsidRPr="009A298C">
        <w:rPr>
          <w:rFonts w:asciiTheme="minorHAnsi" w:hAnsiTheme="minorHAnsi"/>
          <w:sz w:val="22"/>
          <w:szCs w:val="22"/>
        </w:rPr>
        <w:t>.  Minimally, these notices (</w:t>
      </w:r>
      <w:r w:rsidR="00873A2A" w:rsidRPr="009A298C">
        <w:rPr>
          <w:rFonts w:asciiTheme="minorHAnsi" w:hAnsiTheme="minorHAnsi"/>
          <w:sz w:val="22"/>
          <w:szCs w:val="22"/>
          <w:u w:val="single"/>
        </w:rPr>
        <w:t>Form</w:t>
      </w:r>
      <w:r w:rsidRPr="009A298C">
        <w:rPr>
          <w:rFonts w:asciiTheme="minorHAnsi" w:hAnsiTheme="minorHAnsi"/>
          <w:sz w:val="22"/>
          <w:szCs w:val="22"/>
          <w:u w:val="single"/>
        </w:rPr>
        <w:t xml:space="preserve"> </w:t>
      </w:r>
      <w:r w:rsidR="00746E7B" w:rsidRPr="009A298C">
        <w:rPr>
          <w:rFonts w:asciiTheme="minorHAnsi" w:hAnsiTheme="minorHAnsi"/>
          <w:sz w:val="22"/>
          <w:szCs w:val="22"/>
          <w:u w:val="single"/>
        </w:rPr>
        <w:t>74</w:t>
      </w:r>
      <w:r w:rsidRPr="009A298C">
        <w:rPr>
          <w:rFonts w:asciiTheme="minorHAnsi" w:hAnsiTheme="minorHAnsi"/>
          <w:sz w:val="22"/>
          <w:szCs w:val="22"/>
        </w:rPr>
        <w:t>, Notice to Area Residents of Free Utility Connections) must identify</w:t>
      </w:r>
    </w:p>
    <w:p w14:paraId="24C33067" w14:textId="77777777" w:rsidR="008C5101" w:rsidRPr="009A298C" w:rsidRDefault="008C5101" w:rsidP="000948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350" w:right="-126"/>
        <w:rPr>
          <w:rFonts w:asciiTheme="minorHAnsi" w:hAnsiTheme="minorHAnsi"/>
          <w:sz w:val="22"/>
          <w:szCs w:val="22"/>
        </w:rPr>
      </w:pPr>
    </w:p>
    <w:p w14:paraId="24C33068" w14:textId="77777777" w:rsidR="008C5101" w:rsidRPr="009A298C" w:rsidRDefault="008C5101" w:rsidP="008C5101">
      <w:pPr>
        <w:numPr>
          <w:ilvl w:val="0"/>
          <w:numId w:val="30"/>
        </w:numPr>
        <w:tabs>
          <w:tab w:val="clear" w:pos="360"/>
          <w:tab w:val="num" w:pos="2160"/>
          <w:tab w:val="left" w:pos="2880"/>
          <w:tab w:val="left" w:pos="3600"/>
          <w:tab w:val="left" w:pos="4320"/>
          <w:tab w:val="left" w:pos="5040"/>
          <w:tab w:val="left" w:pos="5760"/>
          <w:tab w:val="left" w:pos="6480"/>
          <w:tab w:val="left" w:pos="7200"/>
          <w:tab w:val="left" w:pos="7920"/>
          <w:tab w:val="left" w:pos="8640"/>
        </w:tabs>
        <w:suppressAutoHyphens/>
        <w:ind w:left="2160"/>
        <w:rPr>
          <w:rFonts w:asciiTheme="minorHAnsi" w:hAnsiTheme="minorHAnsi"/>
          <w:sz w:val="22"/>
          <w:szCs w:val="22"/>
        </w:rPr>
      </w:pPr>
      <w:r w:rsidRPr="009A298C">
        <w:rPr>
          <w:rFonts w:asciiTheme="minorHAnsi" w:hAnsiTheme="minorHAnsi"/>
          <w:sz w:val="22"/>
          <w:szCs w:val="22"/>
        </w:rPr>
        <w:t>Who is eligible based on specific HUD income guidelines</w:t>
      </w:r>
    </w:p>
    <w:p w14:paraId="24C33069" w14:textId="77777777" w:rsidR="008C5101" w:rsidRPr="009A298C" w:rsidRDefault="008C5101" w:rsidP="008C5101">
      <w:pPr>
        <w:numPr>
          <w:ilvl w:val="0"/>
          <w:numId w:val="30"/>
        </w:numPr>
        <w:tabs>
          <w:tab w:val="clear" w:pos="360"/>
          <w:tab w:val="num" w:pos="2160"/>
          <w:tab w:val="left" w:pos="2880"/>
          <w:tab w:val="left" w:pos="3600"/>
          <w:tab w:val="left" w:pos="4320"/>
          <w:tab w:val="left" w:pos="5040"/>
          <w:tab w:val="left" w:pos="5760"/>
          <w:tab w:val="left" w:pos="6480"/>
          <w:tab w:val="left" w:pos="7200"/>
          <w:tab w:val="left" w:pos="7920"/>
          <w:tab w:val="left" w:pos="8640"/>
        </w:tabs>
        <w:suppressAutoHyphens/>
        <w:ind w:left="2160"/>
        <w:rPr>
          <w:rFonts w:asciiTheme="minorHAnsi" w:hAnsiTheme="minorHAnsi"/>
          <w:sz w:val="22"/>
          <w:szCs w:val="22"/>
        </w:rPr>
      </w:pPr>
      <w:r w:rsidRPr="009A298C">
        <w:rPr>
          <w:rFonts w:asciiTheme="minorHAnsi" w:hAnsiTheme="minorHAnsi"/>
          <w:sz w:val="22"/>
          <w:szCs w:val="22"/>
        </w:rPr>
        <w:t>Where/how an application may be obtained</w:t>
      </w:r>
    </w:p>
    <w:p w14:paraId="24C3306A" w14:textId="77777777" w:rsidR="008C5101" w:rsidRPr="009A298C" w:rsidRDefault="008C5101" w:rsidP="008C5101">
      <w:pPr>
        <w:numPr>
          <w:ilvl w:val="0"/>
          <w:numId w:val="30"/>
        </w:numPr>
        <w:tabs>
          <w:tab w:val="clear" w:pos="360"/>
          <w:tab w:val="num" w:pos="2160"/>
          <w:tab w:val="left" w:pos="2880"/>
          <w:tab w:val="left" w:pos="3600"/>
          <w:tab w:val="left" w:pos="4320"/>
          <w:tab w:val="left" w:pos="5040"/>
          <w:tab w:val="left" w:pos="5760"/>
          <w:tab w:val="left" w:pos="6480"/>
          <w:tab w:val="left" w:pos="7200"/>
          <w:tab w:val="left" w:pos="7920"/>
          <w:tab w:val="left" w:pos="8640"/>
        </w:tabs>
        <w:suppressAutoHyphens/>
        <w:ind w:left="2160"/>
        <w:rPr>
          <w:rFonts w:asciiTheme="minorHAnsi" w:hAnsiTheme="minorHAnsi"/>
          <w:sz w:val="22"/>
          <w:szCs w:val="22"/>
        </w:rPr>
      </w:pPr>
      <w:r w:rsidRPr="009A298C">
        <w:rPr>
          <w:rFonts w:asciiTheme="minorHAnsi" w:hAnsiTheme="minorHAnsi"/>
          <w:sz w:val="22"/>
          <w:szCs w:val="22"/>
        </w:rPr>
        <w:t>Measures to make applications accessible to disabled or elderly persons</w:t>
      </w:r>
    </w:p>
    <w:p w14:paraId="24C3306B" w14:textId="77777777" w:rsidR="008C5101" w:rsidRPr="009A298C" w:rsidRDefault="008C5101" w:rsidP="008C5101">
      <w:pPr>
        <w:numPr>
          <w:ilvl w:val="0"/>
          <w:numId w:val="30"/>
        </w:numPr>
        <w:tabs>
          <w:tab w:val="clear" w:pos="360"/>
          <w:tab w:val="num" w:pos="2160"/>
          <w:tab w:val="left" w:pos="2880"/>
          <w:tab w:val="left" w:pos="3600"/>
          <w:tab w:val="left" w:pos="4320"/>
          <w:tab w:val="left" w:pos="5040"/>
          <w:tab w:val="left" w:pos="5760"/>
          <w:tab w:val="left" w:pos="6480"/>
          <w:tab w:val="left" w:pos="7200"/>
          <w:tab w:val="left" w:pos="7920"/>
          <w:tab w:val="left" w:pos="8640"/>
        </w:tabs>
        <w:suppressAutoHyphens/>
        <w:ind w:left="2160"/>
        <w:rPr>
          <w:rFonts w:asciiTheme="minorHAnsi" w:hAnsiTheme="minorHAnsi"/>
          <w:sz w:val="22"/>
          <w:szCs w:val="22"/>
        </w:rPr>
      </w:pPr>
      <w:r w:rsidRPr="009A298C">
        <w:rPr>
          <w:rFonts w:asciiTheme="minorHAnsi" w:hAnsiTheme="minorHAnsi"/>
          <w:sz w:val="22"/>
          <w:szCs w:val="22"/>
        </w:rPr>
        <w:t>A deadline for application submission</w:t>
      </w:r>
    </w:p>
    <w:p w14:paraId="24C3306C" w14:textId="77777777" w:rsidR="008C5101" w:rsidRPr="009A298C" w:rsidRDefault="008C5101" w:rsidP="008C5101">
      <w:pPr>
        <w:numPr>
          <w:ilvl w:val="0"/>
          <w:numId w:val="30"/>
        </w:numPr>
        <w:tabs>
          <w:tab w:val="clear" w:pos="360"/>
          <w:tab w:val="num" w:pos="2160"/>
          <w:tab w:val="left" w:pos="2880"/>
          <w:tab w:val="left" w:pos="3600"/>
          <w:tab w:val="left" w:pos="4320"/>
          <w:tab w:val="left" w:pos="5040"/>
          <w:tab w:val="left" w:pos="5760"/>
          <w:tab w:val="left" w:pos="6480"/>
          <w:tab w:val="left" w:pos="7200"/>
          <w:tab w:val="left" w:pos="7920"/>
          <w:tab w:val="left" w:pos="8640"/>
        </w:tabs>
        <w:suppressAutoHyphens/>
        <w:ind w:left="2160"/>
        <w:rPr>
          <w:rFonts w:asciiTheme="minorHAnsi" w:hAnsiTheme="minorHAnsi"/>
          <w:sz w:val="22"/>
          <w:szCs w:val="22"/>
        </w:rPr>
      </w:pPr>
      <w:r w:rsidRPr="009A298C">
        <w:rPr>
          <w:rFonts w:asciiTheme="minorHAnsi" w:hAnsiTheme="minorHAnsi"/>
          <w:sz w:val="22"/>
          <w:szCs w:val="22"/>
        </w:rPr>
        <w:t>A list of documentation that must accompany the application</w:t>
      </w:r>
    </w:p>
    <w:p w14:paraId="24C3306D" w14:textId="77777777" w:rsidR="008C5101" w:rsidRPr="009A298C" w:rsidRDefault="008C5101" w:rsidP="008C5101">
      <w:pPr>
        <w:numPr>
          <w:ilvl w:val="0"/>
          <w:numId w:val="30"/>
        </w:numPr>
        <w:tabs>
          <w:tab w:val="clear" w:pos="360"/>
          <w:tab w:val="num" w:pos="2160"/>
          <w:tab w:val="left" w:pos="2880"/>
          <w:tab w:val="left" w:pos="3600"/>
          <w:tab w:val="left" w:pos="4320"/>
          <w:tab w:val="left" w:pos="5040"/>
          <w:tab w:val="left" w:pos="5760"/>
          <w:tab w:val="left" w:pos="6480"/>
          <w:tab w:val="left" w:pos="7200"/>
          <w:tab w:val="left" w:pos="7920"/>
          <w:tab w:val="left" w:pos="8640"/>
        </w:tabs>
        <w:suppressAutoHyphens/>
        <w:ind w:left="2160"/>
        <w:rPr>
          <w:rFonts w:asciiTheme="minorHAnsi" w:hAnsiTheme="minorHAnsi"/>
          <w:sz w:val="22"/>
          <w:szCs w:val="22"/>
        </w:rPr>
      </w:pPr>
      <w:r w:rsidRPr="009A298C">
        <w:rPr>
          <w:rFonts w:asciiTheme="minorHAnsi" w:hAnsiTheme="minorHAnsi"/>
          <w:sz w:val="22"/>
          <w:szCs w:val="22"/>
        </w:rPr>
        <w:t>Who may be contacted for further information</w:t>
      </w:r>
    </w:p>
    <w:p w14:paraId="24C3306E" w14:textId="77777777" w:rsidR="008C5101" w:rsidRPr="009A298C" w:rsidRDefault="008C5101">
      <w:pPr>
        <w:pStyle w:val="End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70"/>
        <w:rPr>
          <w:rFonts w:asciiTheme="minorHAnsi" w:hAnsiTheme="minorHAnsi"/>
          <w:sz w:val="22"/>
          <w:szCs w:val="22"/>
        </w:rPr>
      </w:pPr>
    </w:p>
    <w:p w14:paraId="24C3306F" w14:textId="77777777" w:rsidR="008C5101" w:rsidRPr="009A298C" w:rsidRDefault="008C5101">
      <w:pPr>
        <w:pStyle w:val="BodyTextIndent2"/>
        <w:tabs>
          <w:tab w:val="clear" w:pos="1440"/>
          <w:tab w:val="left" w:pos="1800"/>
        </w:tabs>
        <w:ind w:left="1800"/>
        <w:rPr>
          <w:rFonts w:asciiTheme="minorHAnsi" w:hAnsiTheme="minorHAnsi"/>
          <w:sz w:val="22"/>
          <w:szCs w:val="22"/>
        </w:rPr>
      </w:pPr>
      <w:r w:rsidRPr="009A298C">
        <w:rPr>
          <w:rFonts w:asciiTheme="minorHAnsi" w:hAnsiTheme="minorHAnsi"/>
          <w:sz w:val="22"/>
          <w:szCs w:val="22"/>
        </w:rPr>
        <w:t>It is advisable that project administrators reference existing LMI maps to ensure that all-potential hookup recipients are contacted.</w:t>
      </w:r>
    </w:p>
    <w:p w14:paraId="24C33070" w14:textId="77777777" w:rsidR="008C5101" w:rsidRPr="009A298C" w:rsidRDefault="008C5101">
      <w:pPr>
        <w:pStyle w:val="BodyTextIndent2"/>
        <w:ind w:left="1440"/>
        <w:rPr>
          <w:rFonts w:asciiTheme="minorHAnsi" w:hAnsiTheme="minorHAnsi"/>
          <w:sz w:val="22"/>
          <w:szCs w:val="22"/>
        </w:rPr>
      </w:pPr>
    </w:p>
    <w:p w14:paraId="24C33071" w14:textId="77777777" w:rsidR="008C5101" w:rsidRPr="009A298C" w:rsidRDefault="008C5101">
      <w:pPr>
        <w:tabs>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suppressAutoHyphens/>
        <w:ind w:left="1350" w:hanging="630"/>
        <w:rPr>
          <w:rFonts w:asciiTheme="minorHAnsi" w:hAnsiTheme="minorHAnsi"/>
          <w:sz w:val="22"/>
          <w:szCs w:val="22"/>
        </w:rPr>
      </w:pPr>
      <w:r w:rsidRPr="009A298C">
        <w:rPr>
          <w:rFonts w:asciiTheme="minorHAnsi" w:hAnsiTheme="minorHAnsi"/>
          <w:sz w:val="22"/>
          <w:szCs w:val="22"/>
        </w:rPr>
        <w:t xml:space="preserve">C.  </w:t>
      </w:r>
      <w:r w:rsidRPr="009A298C">
        <w:rPr>
          <w:rFonts w:asciiTheme="minorHAnsi" w:hAnsiTheme="minorHAnsi"/>
          <w:sz w:val="22"/>
          <w:szCs w:val="22"/>
        </w:rPr>
        <w:tab/>
      </w:r>
      <w:r w:rsidRPr="009A298C">
        <w:rPr>
          <w:rFonts w:asciiTheme="minorHAnsi" w:hAnsiTheme="minorHAnsi"/>
          <w:b/>
          <w:sz w:val="22"/>
          <w:szCs w:val="22"/>
        </w:rPr>
        <w:t>Accept applications</w:t>
      </w:r>
      <w:r w:rsidRPr="009A298C">
        <w:rPr>
          <w:rFonts w:asciiTheme="minorHAnsi" w:hAnsiTheme="minorHAnsi"/>
          <w:sz w:val="22"/>
          <w:szCs w:val="22"/>
        </w:rPr>
        <w:t xml:space="preserve">.  Applications may be accepted on-site, through the mail, or in person at public hearings or at locations such as city halls or water associations.  Only applications consistent with </w:t>
      </w:r>
      <w:r w:rsidR="00873A2A" w:rsidRPr="009A298C">
        <w:rPr>
          <w:rFonts w:asciiTheme="minorHAnsi" w:hAnsiTheme="minorHAnsi"/>
          <w:sz w:val="22"/>
          <w:szCs w:val="22"/>
          <w:u w:val="single"/>
        </w:rPr>
        <w:t>Form</w:t>
      </w:r>
      <w:r w:rsidRPr="009A298C">
        <w:rPr>
          <w:rFonts w:asciiTheme="minorHAnsi" w:hAnsiTheme="minorHAnsi"/>
          <w:sz w:val="22"/>
          <w:szCs w:val="22"/>
          <w:u w:val="single"/>
        </w:rPr>
        <w:t xml:space="preserve"> </w:t>
      </w:r>
      <w:r w:rsidR="00746E7B" w:rsidRPr="009A298C">
        <w:rPr>
          <w:rFonts w:asciiTheme="minorHAnsi" w:hAnsiTheme="minorHAnsi"/>
          <w:sz w:val="22"/>
          <w:szCs w:val="22"/>
          <w:u w:val="single"/>
        </w:rPr>
        <w:t>75</w:t>
      </w:r>
      <w:r w:rsidRPr="009A298C">
        <w:rPr>
          <w:rFonts w:asciiTheme="minorHAnsi" w:hAnsiTheme="minorHAnsi"/>
          <w:sz w:val="22"/>
          <w:szCs w:val="22"/>
        </w:rPr>
        <w:t>, Application for Free Utility Connections, will be accepted.</w:t>
      </w:r>
    </w:p>
    <w:p w14:paraId="24C33072" w14:textId="77777777" w:rsidR="008C5101" w:rsidRPr="009A298C" w:rsidRDefault="008C510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360"/>
        <w:rPr>
          <w:rFonts w:asciiTheme="minorHAnsi" w:hAnsiTheme="minorHAnsi"/>
          <w:sz w:val="22"/>
          <w:szCs w:val="22"/>
        </w:rPr>
      </w:pPr>
    </w:p>
    <w:p w14:paraId="24C33073" w14:textId="77777777" w:rsidR="008C5101" w:rsidRPr="009A298C" w:rsidRDefault="008C5101">
      <w:pPr>
        <w:tabs>
          <w:tab w:val="left" w:pos="72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350" w:hanging="630"/>
        <w:rPr>
          <w:rFonts w:asciiTheme="minorHAnsi" w:hAnsiTheme="minorHAnsi"/>
          <w:sz w:val="22"/>
          <w:szCs w:val="22"/>
        </w:rPr>
      </w:pPr>
      <w:r w:rsidRPr="009A298C">
        <w:rPr>
          <w:rFonts w:asciiTheme="minorHAnsi" w:hAnsiTheme="minorHAnsi"/>
          <w:sz w:val="22"/>
          <w:szCs w:val="22"/>
        </w:rPr>
        <w:t>D.</w:t>
      </w:r>
      <w:r w:rsidRPr="009A298C">
        <w:rPr>
          <w:rFonts w:asciiTheme="minorHAnsi" w:hAnsiTheme="minorHAnsi"/>
          <w:b/>
          <w:sz w:val="22"/>
          <w:szCs w:val="22"/>
        </w:rPr>
        <w:t xml:space="preserve"> </w:t>
      </w:r>
      <w:r w:rsidRPr="009A298C">
        <w:rPr>
          <w:rFonts w:asciiTheme="minorHAnsi" w:hAnsiTheme="minorHAnsi"/>
          <w:b/>
          <w:sz w:val="22"/>
          <w:szCs w:val="22"/>
        </w:rPr>
        <w:tab/>
        <w:t xml:space="preserve">Verify </w:t>
      </w:r>
      <w:r w:rsidR="008207F1" w:rsidRPr="009A298C">
        <w:rPr>
          <w:rFonts w:asciiTheme="minorHAnsi" w:hAnsiTheme="minorHAnsi"/>
          <w:b/>
          <w:sz w:val="22"/>
          <w:szCs w:val="22"/>
        </w:rPr>
        <w:t>i</w:t>
      </w:r>
      <w:r w:rsidRPr="009A298C">
        <w:rPr>
          <w:rFonts w:asciiTheme="minorHAnsi" w:hAnsiTheme="minorHAnsi"/>
          <w:b/>
          <w:sz w:val="22"/>
          <w:szCs w:val="22"/>
        </w:rPr>
        <w:t>ncome</w:t>
      </w:r>
      <w:r w:rsidRPr="009A298C">
        <w:rPr>
          <w:rFonts w:asciiTheme="minorHAnsi" w:hAnsiTheme="minorHAnsi"/>
          <w:sz w:val="22"/>
          <w:szCs w:val="22"/>
        </w:rPr>
        <w:t xml:space="preserve"> based upon the previous calendar year’s total annual income, not including disability benefits, of all persons inhabiting the residence.  Boarders who are paying rent shall not be counted in this determination.  Wage earnings can be verified by contacting employers (</w:t>
      </w:r>
      <w:r w:rsidR="00873A2A" w:rsidRPr="009A298C">
        <w:rPr>
          <w:rFonts w:asciiTheme="minorHAnsi" w:hAnsiTheme="minorHAnsi"/>
          <w:sz w:val="22"/>
          <w:szCs w:val="22"/>
          <w:u w:val="single"/>
        </w:rPr>
        <w:t>Form</w:t>
      </w:r>
      <w:r w:rsidRPr="009A298C">
        <w:rPr>
          <w:rFonts w:asciiTheme="minorHAnsi" w:hAnsiTheme="minorHAnsi"/>
          <w:sz w:val="22"/>
          <w:szCs w:val="22"/>
          <w:u w:val="single"/>
        </w:rPr>
        <w:t xml:space="preserve"> </w:t>
      </w:r>
      <w:r w:rsidR="00746E7B" w:rsidRPr="009A298C">
        <w:rPr>
          <w:rFonts w:asciiTheme="minorHAnsi" w:hAnsiTheme="minorHAnsi"/>
          <w:sz w:val="22"/>
          <w:szCs w:val="22"/>
          <w:u w:val="single"/>
        </w:rPr>
        <w:t>78</w:t>
      </w:r>
      <w:r w:rsidRPr="009A298C">
        <w:rPr>
          <w:rFonts w:asciiTheme="minorHAnsi" w:hAnsiTheme="minorHAnsi"/>
          <w:sz w:val="22"/>
          <w:szCs w:val="22"/>
        </w:rPr>
        <w:t xml:space="preserve">) or by reviewing tax returns only if employees are not accessible.  Income obtained through public assistance can be verified by contacting the Social Security Administration or </w:t>
      </w:r>
      <w:r w:rsidR="008B02C1" w:rsidRPr="009A298C">
        <w:rPr>
          <w:rFonts w:asciiTheme="minorHAnsi" w:hAnsiTheme="minorHAnsi"/>
          <w:sz w:val="22"/>
          <w:szCs w:val="22"/>
        </w:rPr>
        <w:t>Department of Human Services (</w:t>
      </w:r>
      <w:r w:rsidR="0066170F" w:rsidRPr="009A298C">
        <w:rPr>
          <w:rFonts w:asciiTheme="minorHAnsi" w:hAnsiTheme="minorHAnsi"/>
          <w:sz w:val="22"/>
          <w:szCs w:val="22"/>
        </w:rPr>
        <w:t>DHS</w:t>
      </w:r>
      <w:r w:rsidR="008B02C1" w:rsidRPr="009A298C">
        <w:rPr>
          <w:rFonts w:asciiTheme="minorHAnsi" w:hAnsiTheme="minorHAnsi"/>
          <w:sz w:val="22"/>
          <w:szCs w:val="22"/>
        </w:rPr>
        <w:t>)</w:t>
      </w:r>
      <w:r w:rsidRPr="009A298C">
        <w:rPr>
          <w:rFonts w:asciiTheme="minorHAnsi" w:hAnsiTheme="minorHAnsi"/>
          <w:sz w:val="22"/>
          <w:szCs w:val="22"/>
        </w:rPr>
        <w:t xml:space="preserve"> offices through the completion and submittal of </w:t>
      </w:r>
      <w:r w:rsidR="00873A2A" w:rsidRPr="009A298C">
        <w:rPr>
          <w:rFonts w:asciiTheme="minorHAnsi" w:hAnsiTheme="minorHAnsi"/>
          <w:sz w:val="22"/>
          <w:szCs w:val="22"/>
          <w:u w:val="single"/>
        </w:rPr>
        <w:t>Form</w:t>
      </w:r>
      <w:r w:rsidRPr="009A298C">
        <w:rPr>
          <w:rFonts w:asciiTheme="minorHAnsi" w:hAnsiTheme="minorHAnsi"/>
          <w:sz w:val="22"/>
          <w:szCs w:val="22"/>
          <w:u w:val="single"/>
        </w:rPr>
        <w:t xml:space="preserve">s </w:t>
      </w:r>
      <w:r w:rsidR="00746E7B" w:rsidRPr="009A298C">
        <w:rPr>
          <w:rFonts w:asciiTheme="minorHAnsi" w:hAnsiTheme="minorHAnsi"/>
          <w:sz w:val="22"/>
          <w:szCs w:val="22"/>
          <w:u w:val="single"/>
        </w:rPr>
        <w:t>79</w:t>
      </w:r>
      <w:r w:rsidRPr="009A298C">
        <w:rPr>
          <w:rFonts w:asciiTheme="minorHAnsi" w:hAnsiTheme="minorHAnsi"/>
          <w:sz w:val="22"/>
          <w:szCs w:val="22"/>
          <w:u w:val="single"/>
        </w:rPr>
        <w:t xml:space="preserve"> and </w:t>
      </w:r>
      <w:r w:rsidR="00746E7B" w:rsidRPr="009A298C">
        <w:rPr>
          <w:rFonts w:asciiTheme="minorHAnsi" w:hAnsiTheme="minorHAnsi"/>
          <w:sz w:val="22"/>
          <w:szCs w:val="22"/>
          <w:u w:val="single"/>
        </w:rPr>
        <w:t>80</w:t>
      </w:r>
      <w:r w:rsidRPr="009A298C">
        <w:rPr>
          <w:rFonts w:asciiTheme="minorHAnsi" w:hAnsiTheme="minorHAnsi"/>
          <w:sz w:val="22"/>
          <w:szCs w:val="22"/>
        </w:rPr>
        <w:t xml:space="preserve"> respectively.  It is likely that special circumstances will arise, (e.g., temporary residency, loss of income sources, etc.) during the application process.  Contact the </w:t>
      </w:r>
      <w:r w:rsidR="00325CD2" w:rsidRPr="009A298C">
        <w:rPr>
          <w:rFonts w:asciiTheme="minorHAnsi" w:hAnsiTheme="minorHAnsi"/>
          <w:sz w:val="22"/>
          <w:szCs w:val="22"/>
        </w:rPr>
        <w:t>g</w:t>
      </w:r>
      <w:r w:rsidRPr="009A298C">
        <w:rPr>
          <w:rFonts w:asciiTheme="minorHAnsi" w:hAnsiTheme="minorHAnsi"/>
          <w:sz w:val="22"/>
          <w:szCs w:val="22"/>
        </w:rPr>
        <w:t xml:space="preserve">rants </w:t>
      </w:r>
      <w:r w:rsidR="00325CD2" w:rsidRPr="009A298C">
        <w:rPr>
          <w:rFonts w:asciiTheme="minorHAnsi" w:hAnsiTheme="minorHAnsi"/>
          <w:sz w:val="22"/>
          <w:szCs w:val="22"/>
        </w:rPr>
        <w:t>m</w:t>
      </w:r>
      <w:r w:rsidRPr="009A298C">
        <w:rPr>
          <w:rFonts w:asciiTheme="minorHAnsi" w:hAnsiTheme="minorHAnsi"/>
          <w:sz w:val="22"/>
          <w:szCs w:val="22"/>
        </w:rPr>
        <w:t>anager to determine if these circumstances warrant deviations from procedure.  It is important that all income documentation remain confidential.</w:t>
      </w:r>
    </w:p>
    <w:p w14:paraId="24C33074" w14:textId="77777777" w:rsidR="008C5101" w:rsidRPr="009A298C" w:rsidRDefault="008C510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360"/>
        <w:rPr>
          <w:rFonts w:asciiTheme="minorHAnsi" w:hAnsiTheme="minorHAnsi"/>
          <w:sz w:val="22"/>
          <w:szCs w:val="22"/>
        </w:rPr>
      </w:pPr>
    </w:p>
    <w:p w14:paraId="24C33075" w14:textId="3D17F3E7" w:rsidR="008C5101" w:rsidRPr="009A298C" w:rsidRDefault="008C5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350" w:hanging="630"/>
        <w:rPr>
          <w:rFonts w:asciiTheme="minorHAnsi" w:hAnsiTheme="minorHAnsi"/>
          <w:sz w:val="22"/>
          <w:szCs w:val="22"/>
        </w:rPr>
      </w:pPr>
      <w:r w:rsidRPr="009A298C">
        <w:rPr>
          <w:rFonts w:asciiTheme="minorHAnsi" w:hAnsiTheme="minorHAnsi"/>
          <w:sz w:val="22"/>
          <w:szCs w:val="22"/>
        </w:rPr>
        <w:t xml:space="preserve">E.      </w:t>
      </w:r>
      <w:r w:rsidR="002151FE">
        <w:rPr>
          <w:rFonts w:asciiTheme="minorHAnsi" w:hAnsiTheme="minorHAnsi"/>
          <w:sz w:val="22"/>
          <w:szCs w:val="22"/>
        </w:rPr>
        <w:t xml:space="preserve">  </w:t>
      </w:r>
      <w:r w:rsidRPr="009A298C">
        <w:rPr>
          <w:rFonts w:asciiTheme="minorHAnsi" w:hAnsiTheme="minorHAnsi"/>
          <w:sz w:val="22"/>
          <w:szCs w:val="22"/>
        </w:rPr>
        <w:t xml:space="preserve"> </w:t>
      </w:r>
      <w:r w:rsidRPr="009A298C">
        <w:rPr>
          <w:rFonts w:asciiTheme="minorHAnsi" w:hAnsiTheme="minorHAnsi"/>
          <w:b/>
          <w:sz w:val="22"/>
          <w:szCs w:val="22"/>
        </w:rPr>
        <w:t>Verify home ownership</w:t>
      </w:r>
      <w:r w:rsidRPr="009A298C">
        <w:rPr>
          <w:rFonts w:asciiTheme="minorHAnsi" w:hAnsiTheme="minorHAnsi"/>
          <w:sz w:val="22"/>
          <w:szCs w:val="22"/>
        </w:rPr>
        <w:t xml:space="preserve"> through examination of tax records.  </w:t>
      </w:r>
      <w:r w:rsidR="00873A2A" w:rsidRPr="009A298C">
        <w:rPr>
          <w:rFonts w:asciiTheme="minorHAnsi" w:hAnsiTheme="minorHAnsi"/>
          <w:sz w:val="22"/>
          <w:szCs w:val="22"/>
          <w:u w:val="single"/>
        </w:rPr>
        <w:t>Form</w:t>
      </w:r>
      <w:r w:rsidRPr="009A298C">
        <w:rPr>
          <w:rFonts w:asciiTheme="minorHAnsi" w:hAnsiTheme="minorHAnsi"/>
          <w:sz w:val="22"/>
          <w:szCs w:val="22"/>
          <w:u w:val="single"/>
        </w:rPr>
        <w:t xml:space="preserve"> </w:t>
      </w:r>
      <w:r w:rsidR="00746E7B" w:rsidRPr="009A298C">
        <w:rPr>
          <w:rFonts w:asciiTheme="minorHAnsi" w:hAnsiTheme="minorHAnsi"/>
          <w:sz w:val="22"/>
          <w:szCs w:val="22"/>
          <w:u w:val="single"/>
        </w:rPr>
        <w:t>81</w:t>
      </w:r>
      <w:r w:rsidR="00746E7B" w:rsidRPr="009A298C">
        <w:rPr>
          <w:rFonts w:asciiTheme="minorHAnsi" w:hAnsiTheme="minorHAnsi"/>
          <w:sz w:val="22"/>
          <w:szCs w:val="22"/>
        </w:rPr>
        <w:t>,</w:t>
      </w:r>
      <w:r w:rsidRPr="009A298C">
        <w:rPr>
          <w:rFonts w:asciiTheme="minorHAnsi" w:hAnsiTheme="minorHAnsi"/>
          <w:sz w:val="22"/>
          <w:szCs w:val="22"/>
        </w:rPr>
        <w:t xml:space="preserve"> Verification of Home Ownership, should be used to request the necessary information.</w:t>
      </w:r>
    </w:p>
    <w:p w14:paraId="24C33076" w14:textId="77777777" w:rsidR="008C5101" w:rsidRPr="009A298C" w:rsidRDefault="008C5101">
      <w:pPr>
        <w:pStyle w:val="End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350" w:hanging="630"/>
        <w:rPr>
          <w:rFonts w:asciiTheme="minorHAnsi" w:hAnsiTheme="minorHAnsi"/>
          <w:sz w:val="22"/>
          <w:szCs w:val="22"/>
        </w:rPr>
      </w:pPr>
    </w:p>
    <w:p w14:paraId="24C33077" w14:textId="77777777" w:rsidR="008C5101" w:rsidRPr="009A298C" w:rsidRDefault="008C5101" w:rsidP="008C5101">
      <w:pPr>
        <w:numPr>
          <w:ilvl w:val="0"/>
          <w:numId w:val="13"/>
        </w:numPr>
        <w:tabs>
          <w:tab w:val="clear" w:pos="1080"/>
          <w:tab w:val="left" w:pos="72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350" w:hanging="630"/>
        <w:rPr>
          <w:rFonts w:asciiTheme="minorHAnsi" w:hAnsiTheme="minorHAnsi"/>
          <w:sz w:val="22"/>
          <w:szCs w:val="22"/>
        </w:rPr>
      </w:pPr>
      <w:r w:rsidRPr="009A298C">
        <w:rPr>
          <w:rFonts w:asciiTheme="minorHAnsi" w:hAnsiTheme="minorHAnsi"/>
          <w:b/>
          <w:sz w:val="22"/>
          <w:szCs w:val="22"/>
        </w:rPr>
        <w:t>Obtain temporary construction easements</w:t>
      </w:r>
      <w:r w:rsidRPr="009A298C">
        <w:rPr>
          <w:rFonts w:asciiTheme="minorHAnsi" w:hAnsiTheme="minorHAnsi"/>
          <w:sz w:val="22"/>
          <w:szCs w:val="22"/>
        </w:rPr>
        <w:t xml:space="preserve"> from property owners.  Easements may be obtained when applications are received or after income is verified; however, they must be obtained prior to completion of the write-ups.  The easement must be consistent with the sample Temporary Construction Easement and Hookup Agreement included as </w:t>
      </w:r>
      <w:r w:rsidR="00873A2A" w:rsidRPr="009A298C">
        <w:rPr>
          <w:rFonts w:asciiTheme="minorHAnsi" w:hAnsiTheme="minorHAnsi"/>
          <w:sz w:val="22"/>
          <w:szCs w:val="22"/>
          <w:u w:val="single"/>
        </w:rPr>
        <w:t>Form</w:t>
      </w:r>
      <w:r w:rsidRPr="009A298C">
        <w:rPr>
          <w:rFonts w:asciiTheme="minorHAnsi" w:hAnsiTheme="minorHAnsi"/>
          <w:sz w:val="22"/>
          <w:szCs w:val="22"/>
          <w:u w:val="single"/>
        </w:rPr>
        <w:t xml:space="preserve"> </w:t>
      </w:r>
      <w:r w:rsidR="00746E7B" w:rsidRPr="009A298C">
        <w:rPr>
          <w:rFonts w:asciiTheme="minorHAnsi" w:hAnsiTheme="minorHAnsi"/>
          <w:sz w:val="22"/>
          <w:szCs w:val="22"/>
          <w:u w:val="single"/>
        </w:rPr>
        <w:t>76</w:t>
      </w:r>
      <w:r w:rsidRPr="009A298C">
        <w:rPr>
          <w:rFonts w:asciiTheme="minorHAnsi" w:hAnsiTheme="minorHAnsi"/>
          <w:sz w:val="22"/>
          <w:szCs w:val="22"/>
        </w:rPr>
        <w:t>.</w:t>
      </w:r>
    </w:p>
    <w:p w14:paraId="24C33078" w14:textId="77777777" w:rsidR="008C5101" w:rsidRPr="009A298C" w:rsidRDefault="008C5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sz w:val="22"/>
          <w:szCs w:val="22"/>
        </w:rPr>
      </w:pPr>
    </w:p>
    <w:p w14:paraId="24C33079" w14:textId="5AF4C0DB" w:rsidR="008C5101" w:rsidRPr="009A298C" w:rsidRDefault="008C5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350" w:hanging="630"/>
        <w:rPr>
          <w:rFonts w:asciiTheme="minorHAnsi" w:hAnsiTheme="minorHAnsi"/>
          <w:sz w:val="22"/>
          <w:szCs w:val="22"/>
        </w:rPr>
      </w:pPr>
      <w:r w:rsidRPr="009A298C">
        <w:rPr>
          <w:rFonts w:asciiTheme="minorHAnsi" w:hAnsiTheme="minorHAnsi"/>
          <w:sz w:val="22"/>
          <w:szCs w:val="22"/>
        </w:rPr>
        <w:t>G.</w:t>
      </w:r>
      <w:r w:rsidRPr="009A298C">
        <w:rPr>
          <w:rFonts w:asciiTheme="minorHAnsi" w:hAnsiTheme="minorHAnsi"/>
          <w:b/>
          <w:sz w:val="22"/>
          <w:szCs w:val="22"/>
        </w:rPr>
        <w:t xml:space="preserve">      </w:t>
      </w:r>
      <w:r w:rsidR="002151FE">
        <w:rPr>
          <w:rFonts w:asciiTheme="minorHAnsi" w:hAnsiTheme="minorHAnsi"/>
          <w:b/>
          <w:sz w:val="22"/>
          <w:szCs w:val="22"/>
        </w:rPr>
        <w:t xml:space="preserve">  </w:t>
      </w:r>
      <w:r w:rsidRPr="009A298C">
        <w:rPr>
          <w:rFonts w:asciiTheme="minorHAnsi" w:hAnsiTheme="minorHAnsi"/>
          <w:b/>
          <w:sz w:val="22"/>
          <w:szCs w:val="22"/>
        </w:rPr>
        <w:t>Obtain a Rent Control Agreement (</w:t>
      </w:r>
      <w:r w:rsidR="00873A2A" w:rsidRPr="009A298C">
        <w:rPr>
          <w:rFonts w:asciiTheme="minorHAnsi" w:hAnsiTheme="minorHAnsi"/>
          <w:b/>
          <w:sz w:val="22"/>
          <w:szCs w:val="22"/>
          <w:u w:val="single"/>
        </w:rPr>
        <w:t>Form</w:t>
      </w:r>
      <w:r w:rsidRPr="009A298C">
        <w:rPr>
          <w:rFonts w:asciiTheme="minorHAnsi" w:hAnsiTheme="minorHAnsi"/>
          <w:b/>
          <w:sz w:val="22"/>
          <w:szCs w:val="22"/>
          <w:u w:val="single"/>
        </w:rPr>
        <w:t xml:space="preserve"> </w:t>
      </w:r>
      <w:r w:rsidR="00746E7B" w:rsidRPr="009A298C">
        <w:rPr>
          <w:rFonts w:asciiTheme="minorHAnsi" w:hAnsiTheme="minorHAnsi"/>
          <w:b/>
          <w:sz w:val="22"/>
          <w:szCs w:val="22"/>
          <w:u w:val="single"/>
        </w:rPr>
        <w:t>77</w:t>
      </w:r>
      <w:r w:rsidRPr="009A298C">
        <w:rPr>
          <w:rFonts w:asciiTheme="minorHAnsi" w:hAnsiTheme="minorHAnsi"/>
          <w:b/>
          <w:sz w:val="22"/>
          <w:szCs w:val="22"/>
        </w:rPr>
        <w:t>).</w:t>
      </w:r>
      <w:r w:rsidRPr="009A298C">
        <w:rPr>
          <w:rFonts w:asciiTheme="minorHAnsi" w:hAnsiTheme="minorHAnsi"/>
          <w:sz w:val="22"/>
          <w:szCs w:val="22"/>
        </w:rPr>
        <w:t xml:space="preserve">  If the structure to be connected is inhabited by an income-qualified renter. This document, like the temporary easement, may be requested with the application or after income verification.  Eligibility will be based on the income of the renter rather than the owner.</w:t>
      </w:r>
    </w:p>
    <w:p w14:paraId="24C3307A" w14:textId="77777777" w:rsidR="008C5101" w:rsidRPr="009A298C" w:rsidRDefault="008C5101">
      <w:pPr>
        <w:pStyle w:val="End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sz w:val="22"/>
          <w:szCs w:val="22"/>
        </w:rPr>
      </w:pPr>
    </w:p>
    <w:p w14:paraId="24C3307B" w14:textId="7A976686" w:rsidR="008C5101" w:rsidRPr="009A298C" w:rsidRDefault="008C51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350" w:hanging="630"/>
        <w:rPr>
          <w:rFonts w:asciiTheme="minorHAnsi" w:hAnsiTheme="minorHAnsi"/>
          <w:sz w:val="22"/>
          <w:szCs w:val="22"/>
        </w:rPr>
      </w:pPr>
      <w:r w:rsidRPr="009A298C">
        <w:rPr>
          <w:rFonts w:asciiTheme="minorHAnsi" w:hAnsiTheme="minorHAnsi"/>
          <w:sz w:val="22"/>
          <w:szCs w:val="22"/>
        </w:rPr>
        <w:t xml:space="preserve">H.      </w:t>
      </w:r>
      <w:r w:rsidR="002151FE">
        <w:rPr>
          <w:rFonts w:asciiTheme="minorHAnsi" w:hAnsiTheme="minorHAnsi"/>
          <w:sz w:val="22"/>
          <w:szCs w:val="22"/>
        </w:rPr>
        <w:t xml:space="preserve">  </w:t>
      </w:r>
      <w:r w:rsidRPr="009A298C">
        <w:rPr>
          <w:rFonts w:asciiTheme="minorHAnsi" w:hAnsiTheme="minorHAnsi"/>
          <w:b/>
          <w:sz w:val="22"/>
          <w:szCs w:val="22"/>
        </w:rPr>
        <w:t>Notify applicants regarding eligibility</w:t>
      </w:r>
      <w:r w:rsidRPr="009A298C">
        <w:rPr>
          <w:rFonts w:asciiTheme="minorHAnsi" w:hAnsiTheme="minorHAnsi"/>
          <w:sz w:val="22"/>
          <w:szCs w:val="22"/>
        </w:rPr>
        <w:t xml:space="preserve"> as soon as income, ownership and easement information is reviewed.  Otherwise, income-eligible applicants pending one or more documents should be informed that omitted documents must be received within a specified time or else the application will be rejected.  Eligibility notices should inform eligible applicants of approximate date(s) that work write-ups and construction will commence.  See </w:t>
      </w:r>
      <w:r w:rsidR="00873A2A" w:rsidRPr="009A298C">
        <w:rPr>
          <w:rFonts w:asciiTheme="minorHAnsi" w:hAnsiTheme="minorHAnsi"/>
          <w:sz w:val="22"/>
          <w:szCs w:val="22"/>
          <w:u w:val="single"/>
        </w:rPr>
        <w:t>Form</w:t>
      </w:r>
      <w:r w:rsidRPr="009A298C">
        <w:rPr>
          <w:rFonts w:asciiTheme="minorHAnsi" w:hAnsiTheme="minorHAnsi"/>
          <w:sz w:val="22"/>
          <w:szCs w:val="22"/>
          <w:u w:val="single"/>
        </w:rPr>
        <w:t xml:space="preserve"> </w:t>
      </w:r>
      <w:r w:rsidR="007845B3" w:rsidRPr="009A298C">
        <w:rPr>
          <w:rFonts w:asciiTheme="minorHAnsi" w:hAnsiTheme="minorHAnsi"/>
          <w:sz w:val="22"/>
          <w:szCs w:val="22"/>
          <w:u w:val="single"/>
        </w:rPr>
        <w:t>82 and 83</w:t>
      </w:r>
      <w:r w:rsidRPr="009A298C">
        <w:rPr>
          <w:rFonts w:asciiTheme="minorHAnsi" w:hAnsiTheme="minorHAnsi"/>
          <w:sz w:val="22"/>
          <w:szCs w:val="22"/>
        </w:rPr>
        <w:t>, Notice of Eligibility Determination (Approval/Disapproval) for eligibility determination notices.</w:t>
      </w:r>
    </w:p>
    <w:p w14:paraId="24C3307C" w14:textId="77777777" w:rsidR="008C5101" w:rsidRPr="009A298C" w:rsidRDefault="008C510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360"/>
        <w:rPr>
          <w:rFonts w:asciiTheme="minorHAnsi" w:hAnsiTheme="minorHAnsi"/>
          <w:sz w:val="22"/>
          <w:szCs w:val="22"/>
        </w:rPr>
      </w:pPr>
    </w:p>
    <w:p w14:paraId="24C3307D" w14:textId="1D452223" w:rsidR="008C5101" w:rsidRPr="009A298C" w:rsidRDefault="008C5101">
      <w:pPr>
        <w:tabs>
          <w:tab w:val="left" w:pos="1260"/>
          <w:tab w:val="left" w:pos="1350"/>
          <w:tab w:val="left" w:pos="2160"/>
          <w:tab w:val="left" w:pos="2880"/>
          <w:tab w:val="left" w:pos="3600"/>
          <w:tab w:val="left" w:pos="4320"/>
          <w:tab w:val="left" w:pos="5040"/>
          <w:tab w:val="left" w:pos="5760"/>
          <w:tab w:val="left" w:pos="6480"/>
          <w:tab w:val="left" w:pos="7200"/>
          <w:tab w:val="left" w:pos="7920"/>
          <w:tab w:val="left" w:pos="8640"/>
        </w:tabs>
        <w:suppressAutoHyphens/>
        <w:ind w:left="1350" w:hanging="630"/>
        <w:rPr>
          <w:rFonts w:asciiTheme="minorHAnsi" w:hAnsiTheme="minorHAnsi"/>
          <w:sz w:val="22"/>
          <w:szCs w:val="22"/>
        </w:rPr>
      </w:pPr>
      <w:r w:rsidRPr="009A298C">
        <w:rPr>
          <w:rFonts w:asciiTheme="minorHAnsi" w:hAnsiTheme="minorHAnsi"/>
          <w:sz w:val="22"/>
          <w:szCs w:val="22"/>
        </w:rPr>
        <w:t xml:space="preserve">I.        </w:t>
      </w:r>
      <w:r w:rsidR="002151FE">
        <w:rPr>
          <w:rFonts w:asciiTheme="minorHAnsi" w:hAnsiTheme="minorHAnsi"/>
          <w:sz w:val="22"/>
          <w:szCs w:val="22"/>
        </w:rPr>
        <w:t xml:space="preserve">  </w:t>
      </w:r>
      <w:r w:rsidRPr="009A298C">
        <w:rPr>
          <w:rFonts w:asciiTheme="minorHAnsi" w:hAnsiTheme="minorHAnsi"/>
          <w:b/>
          <w:sz w:val="22"/>
          <w:szCs w:val="22"/>
        </w:rPr>
        <w:t>Procure a write-up specialist</w:t>
      </w:r>
      <w:r w:rsidRPr="009A298C">
        <w:rPr>
          <w:rFonts w:asciiTheme="minorHAnsi" w:hAnsiTheme="minorHAnsi"/>
          <w:sz w:val="22"/>
          <w:szCs w:val="22"/>
        </w:rPr>
        <w:t xml:space="preserve">.  Write-ups must be completed by either licensed plumbers, </w:t>
      </w:r>
      <w:r w:rsidR="008B02C1" w:rsidRPr="009A298C">
        <w:rPr>
          <w:rFonts w:asciiTheme="minorHAnsi" w:hAnsiTheme="minorHAnsi"/>
          <w:sz w:val="22"/>
          <w:szCs w:val="22"/>
        </w:rPr>
        <w:t>ADH</w:t>
      </w:r>
      <w:r w:rsidRPr="009A298C">
        <w:rPr>
          <w:rFonts w:asciiTheme="minorHAnsi" w:hAnsiTheme="minorHAnsi"/>
          <w:sz w:val="22"/>
          <w:szCs w:val="22"/>
        </w:rPr>
        <w:t xml:space="preserve"> </w:t>
      </w:r>
      <w:r w:rsidR="003E4F36" w:rsidRPr="009A298C">
        <w:rPr>
          <w:rFonts w:asciiTheme="minorHAnsi" w:hAnsiTheme="minorHAnsi"/>
          <w:sz w:val="22"/>
          <w:szCs w:val="22"/>
        </w:rPr>
        <w:t>o</w:t>
      </w:r>
      <w:r w:rsidRPr="009A298C">
        <w:rPr>
          <w:rFonts w:asciiTheme="minorHAnsi" w:hAnsiTheme="minorHAnsi"/>
          <w:sz w:val="22"/>
          <w:szCs w:val="22"/>
        </w:rPr>
        <w:t xml:space="preserve">fficials or individuals trained by </w:t>
      </w:r>
      <w:r w:rsidR="008B02C1" w:rsidRPr="009A298C">
        <w:rPr>
          <w:rFonts w:asciiTheme="minorHAnsi" w:hAnsiTheme="minorHAnsi"/>
          <w:sz w:val="22"/>
          <w:szCs w:val="22"/>
        </w:rPr>
        <w:t>ADH</w:t>
      </w:r>
      <w:r w:rsidRPr="009A298C">
        <w:rPr>
          <w:rFonts w:asciiTheme="minorHAnsi" w:hAnsiTheme="minorHAnsi"/>
          <w:sz w:val="22"/>
          <w:szCs w:val="22"/>
        </w:rPr>
        <w:t xml:space="preserve"> to complete write-ups.  Questions regarding qualifications can be referred </w:t>
      </w:r>
      <w:r w:rsidR="0085371C" w:rsidRPr="009A298C">
        <w:rPr>
          <w:rFonts w:asciiTheme="minorHAnsi" w:hAnsiTheme="minorHAnsi"/>
          <w:sz w:val="22"/>
          <w:szCs w:val="22"/>
        </w:rPr>
        <w:t xml:space="preserve">to </w:t>
      </w:r>
      <w:r w:rsidR="0056250F" w:rsidRPr="009A298C">
        <w:rPr>
          <w:rFonts w:asciiTheme="minorHAnsi" w:hAnsiTheme="minorHAnsi"/>
          <w:sz w:val="22"/>
          <w:szCs w:val="22"/>
        </w:rPr>
        <w:t>ADH</w:t>
      </w:r>
      <w:r w:rsidRPr="009A298C">
        <w:rPr>
          <w:rFonts w:asciiTheme="minorHAnsi" w:hAnsiTheme="minorHAnsi"/>
          <w:sz w:val="22"/>
          <w:szCs w:val="22"/>
        </w:rPr>
        <w:t>, Bureau of Environmental Health Services, Division of Protective Health Codes at 501</w:t>
      </w:r>
      <w:r w:rsidR="0056250F" w:rsidRPr="009A298C">
        <w:rPr>
          <w:rFonts w:asciiTheme="minorHAnsi" w:hAnsiTheme="minorHAnsi"/>
          <w:sz w:val="22"/>
          <w:szCs w:val="22"/>
        </w:rPr>
        <w:t>-</w:t>
      </w:r>
      <w:r w:rsidRPr="009A298C">
        <w:rPr>
          <w:rFonts w:asciiTheme="minorHAnsi" w:hAnsiTheme="minorHAnsi"/>
          <w:sz w:val="22"/>
          <w:szCs w:val="22"/>
        </w:rPr>
        <w:t xml:space="preserve">661-2642.  It is preferable to have write-ups completed by </w:t>
      </w:r>
      <w:r w:rsidR="008B02C1" w:rsidRPr="009A298C">
        <w:rPr>
          <w:rFonts w:asciiTheme="minorHAnsi" w:hAnsiTheme="minorHAnsi"/>
          <w:sz w:val="22"/>
          <w:szCs w:val="22"/>
        </w:rPr>
        <w:t>ADH</w:t>
      </w:r>
      <w:r w:rsidRPr="009A298C">
        <w:rPr>
          <w:rFonts w:asciiTheme="minorHAnsi" w:hAnsiTheme="minorHAnsi"/>
          <w:sz w:val="22"/>
          <w:szCs w:val="22"/>
        </w:rPr>
        <w:t xml:space="preserve"> personnel familiar </w:t>
      </w:r>
      <w:r w:rsidRPr="009A298C">
        <w:rPr>
          <w:rFonts w:asciiTheme="minorHAnsi" w:hAnsiTheme="minorHAnsi"/>
          <w:sz w:val="22"/>
          <w:szCs w:val="22"/>
        </w:rPr>
        <w:lastRenderedPageBreak/>
        <w:t>with or assigned to the project area.  These individuals do not have to be formally procured.  However, there may be occasions, such as time constraints, when write-up specialists will need to be procured.  Procurement must be in accordance with Section III of this chapter.</w:t>
      </w:r>
    </w:p>
    <w:p w14:paraId="24C3307E" w14:textId="77777777" w:rsidR="008C5101" w:rsidRPr="009A298C" w:rsidRDefault="008C510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360"/>
        <w:rPr>
          <w:rFonts w:asciiTheme="minorHAnsi" w:hAnsiTheme="minorHAnsi"/>
          <w:sz w:val="22"/>
          <w:szCs w:val="22"/>
        </w:rPr>
      </w:pPr>
    </w:p>
    <w:p w14:paraId="24C3307F" w14:textId="77777777" w:rsidR="008C5101" w:rsidRPr="009A298C" w:rsidRDefault="008C510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350"/>
        <w:rPr>
          <w:rFonts w:asciiTheme="minorHAnsi" w:hAnsiTheme="minorHAnsi"/>
          <w:sz w:val="22"/>
          <w:szCs w:val="22"/>
        </w:rPr>
      </w:pPr>
      <w:r w:rsidRPr="009A298C">
        <w:rPr>
          <w:rFonts w:asciiTheme="minorHAnsi" w:hAnsiTheme="minorHAnsi"/>
          <w:sz w:val="22"/>
          <w:szCs w:val="22"/>
        </w:rPr>
        <w:t xml:space="preserve">Occasionally, </w:t>
      </w:r>
      <w:r w:rsidR="003E4F36" w:rsidRPr="009A298C">
        <w:rPr>
          <w:rFonts w:asciiTheme="minorHAnsi" w:hAnsiTheme="minorHAnsi"/>
          <w:sz w:val="22"/>
          <w:szCs w:val="22"/>
        </w:rPr>
        <w:t>g</w:t>
      </w:r>
      <w:r w:rsidRPr="009A298C">
        <w:rPr>
          <w:rFonts w:asciiTheme="minorHAnsi" w:hAnsiTheme="minorHAnsi"/>
          <w:sz w:val="22"/>
          <w:szCs w:val="22"/>
        </w:rPr>
        <w:t xml:space="preserve">rantees may prefer to include utility connections as part of the prime contractor distribution system contract.  In these instances, the engineer may prepare the work write-ups as part of the plans and specifications; however, eligible applicants must be identified prior to commencement of the write-ups, and write-up compensation shall not exceed $75 per write-up for income-eligible applicants.  If hookup work is </w:t>
      </w:r>
      <w:r w:rsidRPr="009A298C">
        <w:rPr>
          <w:rFonts w:asciiTheme="minorHAnsi" w:hAnsiTheme="minorHAnsi"/>
          <w:b/>
          <w:sz w:val="22"/>
          <w:szCs w:val="22"/>
        </w:rPr>
        <w:t>not</w:t>
      </w:r>
      <w:r w:rsidRPr="009A298C">
        <w:rPr>
          <w:rFonts w:asciiTheme="minorHAnsi" w:hAnsiTheme="minorHAnsi"/>
          <w:sz w:val="22"/>
          <w:szCs w:val="22"/>
        </w:rPr>
        <w:t xml:space="preserve"> bid under a separate contract, then the following policies must be adhered to:</w:t>
      </w:r>
    </w:p>
    <w:p w14:paraId="24C33080" w14:textId="77777777" w:rsidR="008C5101" w:rsidRPr="009A298C" w:rsidRDefault="008C510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350"/>
        <w:rPr>
          <w:rFonts w:asciiTheme="minorHAnsi" w:hAnsiTheme="minorHAnsi"/>
          <w:sz w:val="22"/>
          <w:szCs w:val="22"/>
        </w:rPr>
      </w:pPr>
    </w:p>
    <w:p w14:paraId="24C33081" w14:textId="77777777" w:rsidR="008C5101" w:rsidRPr="009A298C" w:rsidRDefault="008C510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710"/>
        <w:rPr>
          <w:rFonts w:asciiTheme="minorHAnsi" w:hAnsiTheme="minorHAnsi"/>
          <w:sz w:val="22"/>
          <w:szCs w:val="22"/>
        </w:rPr>
      </w:pPr>
      <w:r w:rsidRPr="009A298C">
        <w:rPr>
          <w:rFonts w:asciiTheme="minorHAnsi" w:hAnsiTheme="minorHAnsi"/>
          <w:sz w:val="22"/>
          <w:szCs w:val="22"/>
        </w:rPr>
        <w:t xml:space="preserve">All hookup work must be listed as a separate schedule to the contract and contain work only for income-eligible applicants.  Any approval of </w:t>
      </w:r>
      <w:r w:rsidR="003E4F36" w:rsidRPr="009A298C">
        <w:rPr>
          <w:rFonts w:asciiTheme="minorHAnsi" w:hAnsiTheme="minorHAnsi"/>
          <w:sz w:val="22"/>
          <w:szCs w:val="22"/>
        </w:rPr>
        <w:t>p</w:t>
      </w:r>
      <w:r w:rsidRPr="009A298C">
        <w:rPr>
          <w:rFonts w:asciiTheme="minorHAnsi" w:hAnsiTheme="minorHAnsi"/>
          <w:sz w:val="22"/>
          <w:szCs w:val="22"/>
        </w:rPr>
        <w:t xml:space="preserve">lans and </w:t>
      </w:r>
      <w:r w:rsidR="003E4F36" w:rsidRPr="009A298C">
        <w:rPr>
          <w:rFonts w:asciiTheme="minorHAnsi" w:hAnsiTheme="minorHAnsi"/>
          <w:sz w:val="22"/>
          <w:szCs w:val="22"/>
        </w:rPr>
        <w:t>s</w:t>
      </w:r>
      <w:r w:rsidRPr="009A298C">
        <w:rPr>
          <w:rFonts w:asciiTheme="minorHAnsi" w:hAnsiTheme="minorHAnsi"/>
          <w:sz w:val="22"/>
          <w:szCs w:val="22"/>
        </w:rPr>
        <w:t>pecifications will be contingent upon the income eligibility verification of applicants.  Thus, income verification must be complete prior to development of work write-ups.</w:t>
      </w:r>
    </w:p>
    <w:p w14:paraId="24C33082" w14:textId="77777777" w:rsidR="008C5101" w:rsidRPr="009A298C" w:rsidRDefault="008C510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710" w:right="-90"/>
        <w:rPr>
          <w:rFonts w:asciiTheme="minorHAnsi" w:hAnsiTheme="minorHAnsi"/>
          <w:sz w:val="22"/>
          <w:szCs w:val="22"/>
        </w:rPr>
      </w:pPr>
      <w:r w:rsidRPr="009A298C">
        <w:rPr>
          <w:rFonts w:asciiTheme="minorHAnsi" w:hAnsiTheme="minorHAnsi"/>
          <w:sz w:val="22"/>
          <w:szCs w:val="22"/>
        </w:rPr>
        <w:t>Davis-Bacon wage rates will apply unless the scope of work can be completely separated from the distribution contract (e.g., use of a specialized crew/subcontractor).</w:t>
      </w:r>
    </w:p>
    <w:p w14:paraId="24C33083" w14:textId="77777777" w:rsidR="008C5101" w:rsidRPr="009A298C" w:rsidRDefault="008C510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710"/>
        <w:rPr>
          <w:rFonts w:asciiTheme="minorHAnsi" w:hAnsiTheme="minorHAnsi"/>
          <w:sz w:val="22"/>
          <w:szCs w:val="22"/>
        </w:rPr>
      </w:pPr>
      <w:r w:rsidRPr="009A298C">
        <w:rPr>
          <w:rFonts w:asciiTheme="minorHAnsi" w:hAnsiTheme="minorHAnsi"/>
          <w:sz w:val="22"/>
          <w:szCs w:val="22"/>
        </w:rPr>
        <w:t>Final inspection of plumbing connections will still need to be made by a licensed plumbing inspector.</w:t>
      </w:r>
    </w:p>
    <w:p w14:paraId="24C33084" w14:textId="77777777" w:rsidR="008646E2" w:rsidRPr="009A298C" w:rsidRDefault="008646E2" w:rsidP="00864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rPr>
          <w:rFonts w:asciiTheme="minorHAnsi" w:hAnsiTheme="minorHAnsi"/>
          <w:sz w:val="22"/>
          <w:szCs w:val="22"/>
        </w:rPr>
      </w:pPr>
    </w:p>
    <w:p w14:paraId="4526EDF5" w14:textId="77777777" w:rsidR="0056250F" w:rsidRPr="009A298C" w:rsidRDefault="0056250F" w:rsidP="00864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rPr>
          <w:rFonts w:asciiTheme="minorHAnsi" w:hAnsiTheme="minorHAnsi"/>
          <w:sz w:val="22"/>
          <w:szCs w:val="22"/>
        </w:rPr>
      </w:pPr>
    </w:p>
    <w:p w14:paraId="24C33085" w14:textId="1512AC2F" w:rsidR="008C5101" w:rsidRPr="009A298C" w:rsidRDefault="008C5101" w:rsidP="002D485A">
      <w:pPr>
        <w:tabs>
          <w:tab w:val="left" w:pos="72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260" w:hanging="540"/>
        <w:rPr>
          <w:rFonts w:asciiTheme="minorHAnsi" w:hAnsiTheme="minorHAnsi"/>
          <w:sz w:val="22"/>
          <w:szCs w:val="22"/>
        </w:rPr>
      </w:pPr>
      <w:r w:rsidRPr="009A298C">
        <w:rPr>
          <w:rFonts w:asciiTheme="minorHAnsi" w:hAnsiTheme="minorHAnsi"/>
          <w:sz w:val="22"/>
          <w:szCs w:val="22"/>
        </w:rPr>
        <w:t xml:space="preserve">J.       </w:t>
      </w:r>
      <w:r w:rsidRPr="009A298C">
        <w:rPr>
          <w:rFonts w:asciiTheme="minorHAnsi" w:hAnsiTheme="minorHAnsi"/>
          <w:b/>
          <w:sz w:val="22"/>
          <w:szCs w:val="22"/>
        </w:rPr>
        <w:t>Conduct write-ups</w:t>
      </w:r>
      <w:r w:rsidRPr="009A298C">
        <w:rPr>
          <w:rFonts w:asciiTheme="minorHAnsi" w:hAnsiTheme="minorHAnsi"/>
          <w:sz w:val="22"/>
          <w:szCs w:val="22"/>
        </w:rPr>
        <w:t xml:space="preserve"> for each income-eligible applicant.  Write-ups must identify</w:t>
      </w:r>
    </w:p>
    <w:p w14:paraId="24C33086" w14:textId="77777777" w:rsidR="008C5101" w:rsidRPr="009A298C" w:rsidRDefault="008C5101" w:rsidP="008C5101">
      <w:pPr>
        <w:numPr>
          <w:ilvl w:val="0"/>
          <w:numId w:val="31"/>
        </w:numPr>
        <w:tabs>
          <w:tab w:val="clear" w:pos="360"/>
          <w:tab w:val="num" w:pos="1170"/>
          <w:tab w:val="left" w:pos="1800"/>
          <w:tab w:val="left" w:pos="2160"/>
          <w:tab w:val="left" w:pos="2880"/>
          <w:tab w:val="left" w:pos="3600"/>
          <w:tab w:val="left" w:pos="4320"/>
          <w:tab w:val="left" w:pos="5040"/>
          <w:tab w:val="left" w:pos="5760"/>
          <w:tab w:val="left" w:pos="6480"/>
          <w:tab w:val="left" w:pos="7200"/>
          <w:tab w:val="left" w:pos="7920"/>
          <w:tab w:val="left" w:pos="8640"/>
        </w:tabs>
        <w:suppressAutoHyphens/>
        <w:ind w:left="1440" w:hanging="90"/>
        <w:rPr>
          <w:rFonts w:asciiTheme="minorHAnsi" w:hAnsiTheme="minorHAnsi"/>
          <w:sz w:val="22"/>
          <w:szCs w:val="22"/>
        </w:rPr>
      </w:pPr>
      <w:r w:rsidRPr="009A298C">
        <w:rPr>
          <w:rFonts w:asciiTheme="minorHAnsi" w:hAnsiTheme="minorHAnsi"/>
          <w:sz w:val="22"/>
          <w:szCs w:val="22"/>
        </w:rPr>
        <w:t>The name and address of applicant</w:t>
      </w:r>
    </w:p>
    <w:p w14:paraId="24C33087" w14:textId="77777777" w:rsidR="008C5101" w:rsidRPr="009A298C" w:rsidRDefault="008C5101" w:rsidP="008C5101">
      <w:pPr>
        <w:numPr>
          <w:ilvl w:val="0"/>
          <w:numId w:val="31"/>
        </w:numPr>
        <w:tabs>
          <w:tab w:val="clear" w:pos="360"/>
          <w:tab w:val="num" w:pos="1170"/>
          <w:tab w:val="left" w:pos="1800"/>
          <w:tab w:val="left" w:pos="2160"/>
          <w:tab w:val="left" w:pos="2880"/>
          <w:tab w:val="left" w:pos="3600"/>
          <w:tab w:val="left" w:pos="4320"/>
          <w:tab w:val="left" w:pos="5040"/>
          <w:tab w:val="left" w:pos="5760"/>
          <w:tab w:val="left" w:pos="6480"/>
          <w:tab w:val="left" w:pos="7200"/>
          <w:tab w:val="left" w:pos="7920"/>
          <w:tab w:val="left" w:pos="8640"/>
        </w:tabs>
        <w:suppressAutoHyphens/>
        <w:ind w:left="1440" w:hanging="90"/>
        <w:rPr>
          <w:rFonts w:asciiTheme="minorHAnsi" w:hAnsiTheme="minorHAnsi"/>
          <w:sz w:val="22"/>
          <w:szCs w:val="22"/>
        </w:rPr>
      </w:pPr>
      <w:r w:rsidRPr="009A298C">
        <w:rPr>
          <w:rFonts w:asciiTheme="minorHAnsi" w:hAnsiTheme="minorHAnsi"/>
          <w:sz w:val="22"/>
          <w:szCs w:val="22"/>
        </w:rPr>
        <w:t>The location of the structure if different than above</w:t>
      </w:r>
    </w:p>
    <w:p w14:paraId="24C33088" w14:textId="77777777" w:rsidR="008C5101" w:rsidRPr="009A298C" w:rsidRDefault="008C5101" w:rsidP="008C5101">
      <w:pPr>
        <w:numPr>
          <w:ilvl w:val="0"/>
          <w:numId w:val="31"/>
        </w:numPr>
        <w:tabs>
          <w:tab w:val="clear" w:pos="360"/>
          <w:tab w:val="num" w:pos="1170"/>
          <w:tab w:val="left" w:pos="1800"/>
          <w:tab w:val="left" w:pos="2160"/>
          <w:tab w:val="left" w:pos="2880"/>
          <w:tab w:val="left" w:pos="3600"/>
          <w:tab w:val="left" w:pos="4320"/>
          <w:tab w:val="left" w:pos="5040"/>
          <w:tab w:val="left" w:pos="5760"/>
          <w:tab w:val="left" w:pos="6480"/>
          <w:tab w:val="left" w:pos="7200"/>
          <w:tab w:val="left" w:pos="7920"/>
          <w:tab w:val="left" w:pos="8640"/>
        </w:tabs>
        <w:suppressAutoHyphens/>
        <w:ind w:left="1440" w:hanging="90"/>
        <w:rPr>
          <w:rFonts w:asciiTheme="minorHAnsi" w:hAnsiTheme="minorHAnsi"/>
          <w:sz w:val="22"/>
          <w:szCs w:val="22"/>
        </w:rPr>
      </w:pPr>
      <w:r w:rsidRPr="009A298C">
        <w:rPr>
          <w:rFonts w:asciiTheme="minorHAnsi" w:hAnsiTheme="minorHAnsi"/>
          <w:sz w:val="22"/>
          <w:szCs w:val="22"/>
        </w:rPr>
        <w:t>A pictorial description (drawing/schematic) of proposed improvements</w:t>
      </w:r>
    </w:p>
    <w:p w14:paraId="24C33089" w14:textId="77777777" w:rsidR="008C5101" w:rsidRPr="009A298C" w:rsidRDefault="008C5101" w:rsidP="008C5101">
      <w:pPr>
        <w:numPr>
          <w:ilvl w:val="0"/>
          <w:numId w:val="31"/>
        </w:numPr>
        <w:tabs>
          <w:tab w:val="clear" w:pos="360"/>
          <w:tab w:val="num" w:pos="1170"/>
          <w:tab w:val="left" w:pos="1800"/>
          <w:tab w:val="left" w:pos="2160"/>
          <w:tab w:val="left" w:pos="2880"/>
          <w:tab w:val="left" w:pos="3600"/>
          <w:tab w:val="left" w:pos="4320"/>
          <w:tab w:val="left" w:pos="5040"/>
          <w:tab w:val="left" w:pos="5760"/>
          <w:tab w:val="left" w:pos="6480"/>
          <w:tab w:val="left" w:pos="7200"/>
          <w:tab w:val="left" w:pos="7920"/>
          <w:tab w:val="left" w:pos="8640"/>
        </w:tabs>
        <w:suppressAutoHyphens/>
        <w:ind w:left="1440" w:hanging="90"/>
        <w:rPr>
          <w:rFonts w:asciiTheme="minorHAnsi" w:hAnsiTheme="minorHAnsi"/>
          <w:sz w:val="22"/>
          <w:szCs w:val="22"/>
        </w:rPr>
      </w:pPr>
      <w:r w:rsidRPr="009A298C">
        <w:rPr>
          <w:rFonts w:asciiTheme="minorHAnsi" w:hAnsiTheme="minorHAnsi"/>
          <w:sz w:val="22"/>
          <w:szCs w:val="22"/>
        </w:rPr>
        <w:t>A written description of proposed improvements</w:t>
      </w:r>
    </w:p>
    <w:p w14:paraId="24C3308A" w14:textId="77777777" w:rsidR="008C5101" w:rsidRPr="009A298C" w:rsidRDefault="008C5101" w:rsidP="002D485A">
      <w:pPr>
        <w:numPr>
          <w:ilvl w:val="0"/>
          <w:numId w:val="31"/>
        </w:numPr>
        <w:tabs>
          <w:tab w:val="clear" w:pos="360"/>
          <w:tab w:val="num" w:pos="1170"/>
          <w:tab w:val="left" w:pos="1800"/>
          <w:tab w:val="left" w:pos="2160"/>
          <w:tab w:val="left" w:pos="2880"/>
          <w:tab w:val="left" w:pos="3600"/>
          <w:tab w:val="left" w:pos="4320"/>
          <w:tab w:val="left" w:pos="5040"/>
          <w:tab w:val="left" w:pos="5760"/>
          <w:tab w:val="left" w:pos="6480"/>
          <w:tab w:val="left" w:pos="7200"/>
          <w:tab w:val="left" w:pos="7920"/>
          <w:tab w:val="left" w:pos="8640"/>
        </w:tabs>
        <w:suppressAutoHyphens/>
        <w:ind w:left="1800" w:hanging="450"/>
        <w:rPr>
          <w:rFonts w:asciiTheme="minorHAnsi" w:hAnsiTheme="minorHAnsi"/>
          <w:sz w:val="22"/>
          <w:szCs w:val="22"/>
        </w:rPr>
      </w:pPr>
      <w:r w:rsidRPr="009A298C">
        <w:rPr>
          <w:rFonts w:asciiTheme="minorHAnsi" w:hAnsiTheme="minorHAnsi"/>
          <w:sz w:val="22"/>
          <w:szCs w:val="22"/>
        </w:rPr>
        <w:t xml:space="preserve">Signatures of the homeowner (if requested by the homeowner; see </w:t>
      </w:r>
      <w:r w:rsidR="00873A2A" w:rsidRPr="009A298C">
        <w:rPr>
          <w:rFonts w:asciiTheme="minorHAnsi" w:hAnsiTheme="minorHAnsi"/>
          <w:sz w:val="22"/>
          <w:szCs w:val="22"/>
          <w:u w:val="single"/>
        </w:rPr>
        <w:t>Form</w:t>
      </w:r>
      <w:r w:rsidRPr="009A298C">
        <w:rPr>
          <w:rFonts w:asciiTheme="minorHAnsi" w:hAnsiTheme="minorHAnsi"/>
          <w:sz w:val="22"/>
          <w:szCs w:val="22"/>
          <w:u w:val="single"/>
        </w:rPr>
        <w:t xml:space="preserve"> </w:t>
      </w:r>
      <w:r w:rsidR="007845B3" w:rsidRPr="009A298C">
        <w:rPr>
          <w:rFonts w:asciiTheme="minorHAnsi" w:hAnsiTheme="minorHAnsi"/>
          <w:sz w:val="22"/>
          <w:szCs w:val="22"/>
          <w:u w:val="single"/>
        </w:rPr>
        <w:t>76</w:t>
      </w:r>
      <w:r w:rsidRPr="009A298C">
        <w:rPr>
          <w:rFonts w:asciiTheme="minorHAnsi" w:hAnsiTheme="minorHAnsi"/>
          <w:sz w:val="22"/>
          <w:szCs w:val="22"/>
        </w:rPr>
        <w:t>) and the work write-up specialist</w:t>
      </w:r>
    </w:p>
    <w:p w14:paraId="24C3308B" w14:textId="77777777" w:rsidR="008C5101" w:rsidRPr="009A298C" w:rsidRDefault="008C5101">
      <w:pPr>
        <w:numPr>
          <w:ilvl w:val="12"/>
          <w:numId w:val="0"/>
        </w:numPr>
        <w:tabs>
          <w:tab w:val="left" w:pos="720"/>
          <w:tab w:val="num" w:pos="1170"/>
          <w:tab w:val="left" w:pos="1800"/>
          <w:tab w:val="left" w:pos="2160"/>
          <w:tab w:val="left" w:pos="2880"/>
          <w:tab w:val="left" w:pos="3600"/>
          <w:tab w:val="left" w:pos="4320"/>
          <w:tab w:val="left" w:pos="5040"/>
          <w:tab w:val="left" w:pos="5760"/>
          <w:tab w:val="left" w:pos="6480"/>
          <w:tab w:val="left" w:pos="7200"/>
          <w:tab w:val="left" w:pos="7920"/>
          <w:tab w:val="left" w:pos="8640"/>
        </w:tabs>
        <w:suppressAutoHyphens/>
        <w:ind w:left="1656" w:hanging="360"/>
        <w:rPr>
          <w:rFonts w:asciiTheme="minorHAnsi" w:hAnsiTheme="minorHAnsi"/>
          <w:sz w:val="22"/>
          <w:szCs w:val="22"/>
        </w:rPr>
      </w:pPr>
    </w:p>
    <w:p w14:paraId="24C3308C" w14:textId="77777777" w:rsidR="008C5101" w:rsidRPr="009A298C" w:rsidRDefault="008C510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350"/>
        <w:rPr>
          <w:rFonts w:asciiTheme="minorHAnsi" w:hAnsiTheme="minorHAnsi"/>
          <w:sz w:val="22"/>
          <w:szCs w:val="22"/>
        </w:rPr>
      </w:pPr>
      <w:r w:rsidRPr="009A298C">
        <w:rPr>
          <w:rFonts w:asciiTheme="minorHAnsi" w:hAnsiTheme="minorHAnsi"/>
          <w:sz w:val="22"/>
          <w:szCs w:val="22"/>
        </w:rPr>
        <w:t xml:space="preserve">All write-ups must be in accordance with ACEDP eligibility requirements and the Arkansas </w:t>
      </w:r>
      <w:r w:rsidR="003E4F36" w:rsidRPr="009A298C">
        <w:rPr>
          <w:rFonts w:asciiTheme="minorHAnsi" w:hAnsiTheme="minorHAnsi"/>
          <w:sz w:val="22"/>
          <w:szCs w:val="22"/>
        </w:rPr>
        <w:t>s</w:t>
      </w:r>
      <w:r w:rsidRPr="009A298C">
        <w:rPr>
          <w:rFonts w:asciiTheme="minorHAnsi" w:hAnsiTheme="minorHAnsi"/>
          <w:sz w:val="22"/>
          <w:szCs w:val="22"/>
        </w:rPr>
        <w:t xml:space="preserve">tate plumbing code unless variances have been obtained by </w:t>
      </w:r>
      <w:r w:rsidR="008B02C1" w:rsidRPr="009A298C">
        <w:rPr>
          <w:rFonts w:asciiTheme="minorHAnsi" w:hAnsiTheme="minorHAnsi"/>
          <w:sz w:val="22"/>
          <w:szCs w:val="22"/>
        </w:rPr>
        <w:t>ADH</w:t>
      </w:r>
      <w:r w:rsidRPr="009A298C">
        <w:rPr>
          <w:rFonts w:asciiTheme="minorHAnsi" w:hAnsiTheme="minorHAnsi"/>
          <w:sz w:val="22"/>
          <w:szCs w:val="22"/>
        </w:rPr>
        <w:t xml:space="preserve">.  Work write-ups with a list of eligible applicants must be submitted to the Arkansas Economic Development </w:t>
      </w:r>
      <w:r w:rsidR="00893365" w:rsidRPr="009A298C">
        <w:rPr>
          <w:rFonts w:asciiTheme="minorHAnsi" w:hAnsiTheme="minorHAnsi"/>
          <w:sz w:val="22"/>
          <w:szCs w:val="22"/>
        </w:rPr>
        <w:t xml:space="preserve">Commission </w:t>
      </w:r>
      <w:r w:rsidR="003E4F36" w:rsidRPr="009A298C">
        <w:rPr>
          <w:rFonts w:asciiTheme="minorHAnsi" w:hAnsiTheme="minorHAnsi"/>
          <w:sz w:val="22"/>
          <w:szCs w:val="22"/>
        </w:rPr>
        <w:t>g</w:t>
      </w:r>
      <w:r w:rsidRPr="009A298C">
        <w:rPr>
          <w:rFonts w:asciiTheme="minorHAnsi" w:hAnsiTheme="minorHAnsi"/>
          <w:sz w:val="22"/>
          <w:szCs w:val="22"/>
        </w:rPr>
        <w:t xml:space="preserve">rants </w:t>
      </w:r>
      <w:r w:rsidR="003E4F36" w:rsidRPr="009A298C">
        <w:rPr>
          <w:rFonts w:asciiTheme="minorHAnsi" w:hAnsiTheme="minorHAnsi"/>
          <w:sz w:val="22"/>
          <w:szCs w:val="22"/>
        </w:rPr>
        <w:t>m</w:t>
      </w:r>
      <w:r w:rsidRPr="009A298C">
        <w:rPr>
          <w:rFonts w:asciiTheme="minorHAnsi" w:hAnsiTheme="minorHAnsi"/>
          <w:sz w:val="22"/>
          <w:szCs w:val="22"/>
        </w:rPr>
        <w:t>anager for approval prior to advertisement for bids.</w:t>
      </w:r>
    </w:p>
    <w:p w14:paraId="24C3308D" w14:textId="77777777" w:rsidR="008C5101" w:rsidRPr="009A298C" w:rsidRDefault="008C510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350" w:hanging="360"/>
        <w:rPr>
          <w:rFonts w:asciiTheme="minorHAnsi" w:hAnsiTheme="minorHAnsi"/>
          <w:sz w:val="22"/>
          <w:szCs w:val="22"/>
        </w:rPr>
      </w:pPr>
    </w:p>
    <w:p w14:paraId="24C3308E" w14:textId="77777777" w:rsidR="008C5101" w:rsidRPr="009A298C" w:rsidRDefault="008C5101" w:rsidP="008C5101">
      <w:pPr>
        <w:numPr>
          <w:ilvl w:val="0"/>
          <w:numId w:val="14"/>
        </w:numPr>
        <w:tabs>
          <w:tab w:val="clear" w:pos="1080"/>
          <w:tab w:val="num" w:pos="1350"/>
          <w:tab w:val="left" w:pos="2160"/>
          <w:tab w:val="left" w:pos="2880"/>
          <w:tab w:val="left" w:pos="3600"/>
          <w:tab w:val="left" w:pos="4320"/>
          <w:tab w:val="left" w:pos="5040"/>
          <w:tab w:val="left" w:pos="5760"/>
          <w:tab w:val="left" w:pos="6480"/>
          <w:tab w:val="left" w:pos="7200"/>
          <w:tab w:val="left" w:pos="7920"/>
          <w:tab w:val="left" w:pos="8640"/>
        </w:tabs>
        <w:suppressAutoHyphens/>
        <w:ind w:left="1350" w:hanging="630"/>
        <w:rPr>
          <w:rFonts w:asciiTheme="minorHAnsi" w:hAnsiTheme="minorHAnsi"/>
          <w:sz w:val="22"/>
          <w:szCs w:val="22"/>
        </w:rPr>
      </w:pPr>
      <w:r w:rsidRPr="009A298C">
        <w:rPr>
          <w:rFonts w:asciiTheme="minorHAnsi" w:hAnsiTheme="minorHAnsi"/>
          <w:b/>
          <w:sz w:val="22"/>
          <w:szCs w:val="22"/>
        </w:rPr>
        <w:t xml:space="preserve">Procure a licensed, bonded </w:t>
      </w:r>
      <w:r w:rsidR="003E4F36" w:rsidRPr="009A298C">
        <w:rPr>
          <w:rFonts w:asciiTheme="minorHAnsi" w:hAnsiTheme="minorHAnsi"/>
          <w:b/>
          <w:sz w:val="22"/>
          <w:szCs w:val="22"/>
        </w:rPr>
        <w:t>plumber</w:t>
      </w:r>
      <w:r w:rsidRPr="009A298C">
        <w:rPr>
          <w:rFonts w:asciiTheme="minorHAnsi" w:hAnsiTheme="minorHAnsi"/>
          <w:sz w:val="22"/>
          <w:szCs w:val="22"/>
        </w:rPr>
        <w:t xml:space="preserve"> to complete the work as specified in the work write-ups.  If the contract is anticipated to exceed $</w:t>
      </w:r>
      <w:r w:rsidR="003E4F36" w:rsidRPr="009A298C">
        <w:rPr>
          <w:rFonts w:asciiTheme="minorHAnsi" w:hAnsiTheme="minorHAnsi"/>
          <w:sz w:val="22"/>
          <w:szCs w:val="22"/>
        </w:rPr>
        <w:t>2</w:t>
      </w:r>
      <w:r w:rsidRPr="009A298C">
        <w:rPr>
          <w:rFonts w:asciiTheme="minorHAnsi" w:hAnsiTheme="minorHAnsi"/>
          <w:sz w:val="22"/>
          <w:szCs w:val="22"/>
        </w:rPr>
        <w:t>0,000, it must be formally advertised in a newspaper of statewide circulation. (See the Procurement Chapter of the ACEDP Administrative Procedures Manual for additional information.)  Procurement should begin after construction of the distribution system has begun but prior to substantial completion to ensure timely closure of the project.  Coordination with the project engineer and distribution system contractor may be helpful in “dovetailing” work of all contractors.</w:t>
      </w:r>
    </w:p>
    <w:p w14:paraId="24C3308F" w14:textId="77777777" w:rsidR="008C5101" w:rsidRPr="009A298C" w:rsidRDefault="008C5101">
      <w:pPr>
        <w:pStyle w:val="EndnoteText"/>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sz w:val="22"/>
          <w:szCs w:val="22"/>
        </w:rPr>
      </w:pPr>
    </w:p>
    <w:p w14:paraId="24C33090" w14:textId="77777777" w:rsidR="008C5101" w:rsidRPr="009A298C" w:rsidRDefault="008C5101" w:rsidP="008C5101">
      <w:pPr>
        <w:numPr>
          <w:ilvl w:val="0"/>
          <w:numId w:val="14"/>
        </w:numPr>
        <w:tabs>
          <w:tab w:val="clear" w:pos="1080"/>
          <w:tab w:val="num"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hanging="720"/>
        <w:rPr>
          <w:rFonts w:asciiTheme="minorHAnsi" w:hAnsiTheme="minorHAnsi"/>
          <w:sz w:val="22"/>
          <w:szCs w:val="22"/>
        </w:rPr>
      </w:pPr>
      <w:r w:rsidRPr="009A298C">
        <w:rPr>
          <w:rFonts w:asciiTheme="minorHAnsi" w:hAnsiTheme="minorHAnsi"/>
          <w:b/>
          <w:sz w:val="22"/>
          <w:szCs w:val="22"/>
        </w:rPr>
        <w:t xml:space="preserve">Submit contract information </w:t>
      </w:r>
      <w:r w:rsidRPr="009A298C">
        <w:rPr>
          <w:rFonts w:asciiTheme="minorHAnsi" w:hAnsiTheme="minorHAnsi"/>
          <w:sz w:val="22"/>
          <w:szCs w:val="22"/>
        </w:rPr>
        <w:t xml:space="preserve">to the </w:t>
      </w:r>
      <w:r w:rsidR="003E4F36" w:rsidRPr="009A298C">
        <w:rPr>
          <w:rFonts w:asciiTheme="minorHAnsi" w:hAnsiTheme="minorHAnsi"/>
          <w:sz w:val="22"/>
          <w:szCs w:val="22"/>
        </w:rPr>
        <w:t>g</w:t>
      </w:r>
      <w:r w:rsidRPr="009A298C">
        <w:rPr>
          <w:rFonts w:asciiTheme="minorHAnsi" w:hAnsiTheme="minorHAnsi"/>
          <w:sz w:val="22"/>
          <w:szCs w:val="22"/>
        </w:rPr>
        <w:t xml:space="preserve">rants </w:t>
      </w:r>
      <w:r w:rsidR="003E4F36" w:rsidRPr="009A298C">
        <w:rPr>
          <w:rFonts w:asciiTheme="minorHAnsi" w:hAnsiTheme="minorHAnsi"/>
          <w:sz w:val="22"/>
          <w:szCs w:val="22"/>
        </w:rPr>
        <w:t>m</w:t>
      </w:r>
      <w:r w:rsidRPr="009A298C">
        <w:rPr>
          <w:rFonts w:asciiTheme="minorHAnsi" w:hAnsiTheme="minorHAnsi"/>
          <w:sz w:val="22"/>
          <w:szCs w:val="22"/>
        </w:rPr>
        <w:t>anager identifying the low bidder on the bid tabulation sheet and verifying the eligibility of the contractor (</w:t>
      </w:r>
      <w:r w:rsidR="00873A2A" w:rsidRPr="009A298C">
        <w:rPr>
          <w:rFonts w:asciiTheme="minorHAnsi" w:hAnsiTheme="minorHAnsi"/>
          <w:sz w:val="22"/>
          <w:szCs w:val="22"/>
          <w:u w:val="single"/>
        </w:rPr>
        <w:t>Form</w:t>
      </w:r>
      <w:r w:rsidRPr="009A298C">
        <w:rPr>
          <w:rFonts w:asciiTheme="minorHAnsi" w:hAnsiTheme="minorHAnsi"/>
          <w:sz w:val="22"/>
          <w:szCs w:val="22"/>
          <w:u w:val="single"/>
        </w:rPr>
        <w:t xml:space="preserve"> </w:t>
      </w:r>
      <w:r w:rsidR="007845B3" w:rsidRPr="009A298C">
        <w:rPr>
          <w:rFonts w:asciiTheme="minorHAnsi" w:hAnsiTheme="minorHAnsi"/>
          <w:sz w:val="22"/>
          <w:szCs w:val="22"/>
          <w:u w:val="single"/>
        </w:rPr>
        <w:t>89</w:t>
      </w:r>
      <w:r w:rsidRPr="009A298C">
        <w:rPr>
          <w:rFonts w:asciiTheme="minorHAnsi" w:hAnsiTheme="minorHAnsi"/>
          <w:sz w:val="22"/>
          <w:szCs w:val="22"/>
        </w:rPr>
        <w:t xml:space="preserve">, Verification of Contractor Eligibility Form).  The </w:t>
      </w:r>
      <w:r w:rsidR="003E4F36" w:rsidRPr="009A298C">
        <w:rPr>
          <w:rFonts w:asciiTheme="minorHAnsi" w:hAnsiTheme="minorHAnsi"/>
          <w:sz w:val="22"/>
          <w:szCs w:val="22"/>
        </w:rPr>
        <w:t>g</w:t>
      </w:r>
      <w:r w:rsidRPr="009A298C">
        <w:rPr>
          <w:rFonts w:asciiTheme="minorHAnsi" w:hAnsiTheme="minorHAnsi"/>
          <w:sz w:val="22"/>
          <w:szCs w:val="22"/>
        </w:rPr>
        <w:t xml:space="preserve">rantee must also confirm that the sureties bonding of the contractor are licensed to do business in the </w:t>
      </w:r>
      <w:r w:rsidR="004561BD" w:rsidRPr="009A298C">
        <w:rPr>
          <w:rFonts w:asciiTheme="minorHAnsi" w:hAnsiTheme="minorHAnsi"/>
          <w:sz w:val="22"/>
          <w:szCs w:val="22"/>
        </w:rPr>
        <w:t>s</w:t>
      </w:r>
      <w:r w:rsidRPr="009A298C">
        <w:rPr>
          <w:rFonts w:asciiTheme="minorHAnsi" w:hAnsiTheme="minorHAnsi"/>
          <w:sz w:val="22"/>
          <w:szCs w:val="22"/>
        </w:rPr>
        <w:t>tate of Arkansas and that underwriting ceilings exceed the amount of the bonds.  Confirmation can be obtained by consulting Department of Treasury Circular 570 published periodically in the Federal Register.</w:t>
      </w:r>
    </w:p>
    <w:p w14:paraId="24C33091" w14:textId="77777777" w:rsidR="008C5101" w:rsidRPr="009A298C" w:rsidRDefault="008C5101">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sz w:val="22"/>
          <w:szCs w:val="22"/>
        </w:rPr>
      </w:pPr>
    </w:p>
    <w:p w14:paraId="24C33092" w14:textId="77777777" w:rsidR="008C5101" w:rsidRPr="009A298C" w:rsidRDefault="008C5101" w:rsidP="008C5101">
      <w:pPr>
        <w:numPr>
          <w:ilvl w:val="0"/>
          <w:numId w:val="14"/>
        </w:numPr>
        <w:tabs>
          <w:tab w:val="clear" w:pos="1080"/>
          <w:tab w:val="num"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hanging="720"/>
        <w:rPr>
          <w:rFonts w:asciiTheme="minorHAnsi" w:hAnsiTheme="minorHAnsi"/>
          <w:sz w:val="22"/>
          <w:szCs w:val="22"/>
        </w:rPr>
      </w:pPr>
      <w:r w:rsidRPr="009A298C">
        <w:rPr>
          <w:rFonts w:asciiTheme="minorHAnsi" w:hAnsiTheme="minorHAnsi"/>
          <w:b/>
          <w:sz w:val="22"/>
          <w:szCs w:val="22"/>
        </w:rPr>
        <w:t>Sign the contract</w:t>
      </w:r>
      <w:r w:rsidRPr="009A298C">
        <w:rPr>
          <w:rFonts w:asciiTheme="minorHAnsi" w:hAnsiTheme="minorHAnsi"/>
          <w:sz w:val="22"/>
          <w:szCs w:val="22"/>
        </w:rPr>
        <w:t xml:space="preserve">, conduct a </w:t>
      </w:r>
      <w:r w:rsidR="004561BD" w:rsidRPr="009A298C">
        <w:rPr>
          <w:rFonts w:asciiTheme="minorHAnsi" w:hAnsiTheme="minorHAnsi"/>
          <w:sz w:val="22"/>
          <w:szCs w:val="22"/>
        </w:rPr>
        <w:t>p</w:t>
      </w:r>
      <w:r w:rsidRPr="009A298C">
        <w:rPr>
          <w:rFonts w:asciiTheme="minorHAnsi" w:hAnsiTheme="minorHAnsi"/>
          <w:sz w:val="22"/>
          <w:szCs w:val="22"/>
        </w:rPr>
        <w:t xml:space="preserve">reconstruction </w:t>
      </w:r>
      <w:r w:rsidR="004561BD" w:rsidRPr="009A298C">
        <w:rPr>
          <w:rFonts w:asciiTheme="minorHAnsi" w:hAnsiTheme="minorHAnsi"/>
          <w:sz w:val="22"/>
          <w:szCs w:val="22"/>
        </w:rPr>
        <w:t>c</w:t>
      </w:r>
      <w:r w:rsidRPr="009A298C">
        <w:rPr>
          <w:rFonts w:asciiTheme="minorHAnsi" w:hAnsiTheme="minorHAnsi"/>
          <w:sz w:val="22"/>
          <w:szCs w:val="22"/>
        </w:rPr>
        <w:t>onference (to be attended by the Arkansas Economic Development</w:t>
      </w:r>
      <w:r w:rsidR="00893365" w:rsidRPr="009A298C">
        <w:rPr>
          <w:rFonts w:asciiTheme="minorHAnsi" w:hAnsiTheme="minorHAnsi"/>
          <w:sz w:val="22"/>
          <w:szCs w:val="22"/>
        </w:rPr>
        <w:t xml:space="preserve"> Commission</w:t>
      </w:r>
      <w:r w:rsidRPr="009A298C">
        <w:rPr>
          <w:rFonts w:asciiTheme="minorHAnsi" w:hAnsiTheme="minorHAnsi"/>
          <w:sz w:val="22"/>
          <w:szCs w:val="22"/>
        </w:rPr>
        <w:t>), and issue the Notice to Proceed (</w:t>
      </w:r>
      <w:r w:rsidR="00873A2A" w:rsidRPr="009A298C">
        <w:rPr>
          <w:rFonts w:asciiTheme="minorHAnsi" w:hAnsiTheme="minorHAnsi"/>
          <w:sz w:val="22"/>
          <w:szCs w:val="22"/>
          <w:u w:val="single"/>
        </w:rPr>
        <w:t>Form</w:t>
      </w:r>
      <w:r w:rsidRPr="009A298C">
        <w:rPr>
          <w:rFonts w:asciiTheme="minorHAnsi" w:hAnsiTheme="minorHAnsi"/>
          <w:sz w:val="22"/>
          <w:szCs w:val="22"/>
          <w:u w:val="single"/>
        </w:rPr>
        <w:t xml:space="preserve"> </w:t>
      </w:r>
      <w:r w:rsidR="007845B3" w:rsidRPr="009A298C">
        <w:rPr>
          <w:rFonts w:asciiTheme="minorHAnsi" w:hAnsiTheme="minorHAnsi"/>
          <w:sz w:val="22"/>
          <w:szCs w:val="22"/>
          <w:u w:val="single"/>
        </w:rPr>
        <w:t>67</w:t>
      </w:r>
      <w:r w:rsidRPr="009A298C">
        <w:rPr>
          <w:rFonts w:asciiTheme="minorHAnsi" w:hAnsiTheme="minorHAnsi"/>
          <w:sz w:val="22"/>
          <w:szCs w:val="22"/>
        </w:rPr>
        <w:t xml:space="preserve">).  A copy of the signed contract and Notice to Proceed forms must be submitted to the </w:t>
      </w:r>
      <w:r w:rsidR="00AE22E4" w:rsidRPr="009A298C">
        <w:rPr>
          <w:rFonts w:asciiTheme="minorHAnsi" w:hAnsiTheme="minorHAnsi"/>
          <w:sz w:val="22"/>
          <w:szCs w:val="22"/>
        </w:rPr>
        <w:t>grants division</w:t>
      </w:r>
      <w:r w:rsidRPr="009A298C">
        <w:rPr>
          <w:rFonts w:asciiTheme="minorHAnsi" w:hAnsiTheme="minorHAnsi"/>
          <w:sz w:val="22"/>
          <w:szCs w:val="22"/>
        </w:rPr>
        <w:t>.</w:t>
      </w:r>
    </w:p>
    <w:p w14:paraId="24C33093" w14:textId="77777777" w:rsidR="008C5101" w:rsidRPr="009A298C" w:rsidRDefault="008C5101">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rPr>
          <w:rFonts w:asciiTheme="minorHAnsi" w:hAnsiTheme="minorHAnsi"/>
          <w:sz w:val="22"/>
          <w:szCs w:val="22"/>
        </w:rPr>
      </w:pPr>
    </w:p>
    <w:p w14:paraId="24C33094" w14:textId="77777777" w:rsidR="008C5101" w:rsidRPr="009A298C" w:rsidRDefault="008C5101" w:rsidP="008C5101">
      <w:pPr>
        <w:numPr>
          <w:ilvl w:val="0"/>
          <w:numId w:val="14"/>
        </w:numPr>
        <w:tabs>
          <w:tab w:val="clear" w:pos="1080"/>
          <w:tab w:val="num"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hanging="720"/>
        <w:rPr>
          <w:rFonts w:asciiTheme="minorHAnsi" w:hAnsiTheme="minorHAnsi"/>
          <w:sz w:val="22"/>
          <w:szCs w:val="22"/>
        </w:rPr>
      </w:pPr>
      <w:r w:rsidRPr="009A298C">
        <w:rPr>
          <w:rFonts w:asciiTheme="minorHAnsi" w:hAnsiTheme="minorHAnsi"/>
          <w:b/>
          <w:sz w:val="22"/>
          <w:szCs w:val="22"/>
        </w:rPr>
        <w:t xml:space="preserve">Complete connections </w:t>
      </w:r>
      <w:r w:rsidRPr="009A298C">
        <w:rPr>
          <w:rFonts w:asciiTheme="minorHAnsi" w:hAnsiTheme="minorHAnsi"/>
          <w:sz w:val="22"/>
          <w:szCs w:val="22"/>
        </w:rPr>
        <w:t xml:space="preserve">in accordance with the work write-up.  Any changes to construction must be approved by the write-up specialist and noted in the write-up.  Work found to be inconsistent with the approved write-up and/or </w:t>
      </w:r>
      <w:r w:rsidR="004561BD" w:rsidRPr="009A298C">
        <w:rPr>
          <w:rFonts w:asciiTheme="minorHAnsi" w:hAnsiTheme="minorHAnsi"/>
          <w:sz w:val="22"/>
          <w:szCs w:val="22"/>
        </w:rPr>
        <w:t>s</w:t>
      </w:r>
      <w:r w:rsidRPr="009A298C">
        <w:rPr>
          <w:rFonts w:asciiTheme="minorHAnsi" w:hAnsiTheme="minorHAnsi"/>
          <w:sz w:val="22"/>
          <w:szCs w:val="22"/>
        </w:rPr>
        <w:t>tate law will not be paid for with grant funds.</w:t>
      </w:r>
    </w:p>
    <w:p w14:paraId="24C33095" w14:textId="77777777" w:rsidR="000948AF" w:rsidRPr="009A298C" w:rsidRDefault="000948AF">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rPr>
          <w:rFonts w:asciiTheme="minorHAnsi" w:hAnsiTheme="minorHAnsi"/>
          <w:sz w:val="22"/>
          <w:szCs w:val="22"/>
        </w:rPr>
      </w:pPr>
    </w:p>
    <w:p w14:paraId="24C33096" w14:textId="6D1344E5" w:rsidR="008C5101" w:rsidRPr="009A298C" w:rsidRDefault="00642F20" w:rsidP="008C5101">
      <w:pPr>
        <w:numPr>
          <w:ilvl w:val="0"/>
          <w:numId w:val="14"/>
        </w:numPr>
        <w:tabs>
          <w:tab w:val="clear" w:pos="1080"/>
          <w:tab w:val="num"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sz w:val="22"/>
          <w:szCs w:val="22"/>
        </w:rPr>
      </w:pPr>
      <w:r w:rsidRPr="009A298C">
        <w:rPr>
          <w:rFonts w:asciiTheme="minorHAnsi" w:hAnsiTheme="minorHAnsi"/>
          <w:b/>
          <w:sz w:val="22"/>
          <w:szCs w:val="22"/>
        </w:rPr>
        <w:t xml:space="preserve">      </w:t>
      </w:r>
      <w:r w:rsidR="008C5101" w:rsidRPr="009A298C">
        <w:rPr>
          <w:rFonts w:asciiTheme="minorHAnsi" w:hAnsiTheme="minorHAnsi"/>
          <w:b/>
          <w:sz w:val="22"/>
          <w:szCs w:val="22"/>
        </w:rPr>
        <w:t>Arrange for inspections</w:t>
      </w:r>
      <w:r w:rsidR="008C5101" w:rsidRPr="009A298C">
        <w:rPr>
          <w:rFonts w:asciiTheme="minorHAnsi" w:hAnsiTheme="minorHAnsi"/>
          <w:sz w:val="22"/>
          <w:szCs w:val="22"/>
        </w:rPr>
        <w:t xml:space="preserve"> </w:t>
      </w:r>
      <w:r w:rsidR="008C5101" w:rsidRPr="009A298C">
        <w:rPr>
          <w:rFonts w:asciiTheme="minorHAnsi" w:hAnsiTheme="minorHAnsi"/>
          <w:b/>
          <w:sz w:val="22"/>
          <w:szCs w:val="22"/>
        </w:rPr>
        <w:t>by a</w:t>
      </w:r>
      <w:r w:rsidR="008C5101" w:rsidRPr="009A298C">
        <w:rPr>
          <w:rFonts w:asciiTheme="minorHAnsi" w:hAnsiTheme="minorHAnsi"/>
          <w:sz w:val="22"/>
          <w:szCs w:val="22"/>
        </w:rPr>
        <w:t xml:space="preserve"> </w:t>
      </w:r>
      <w:r w:rsidR="004561BD" w:rsidRPr="009A298C">
        <w:rPr>
          <w:rFonts w:asciiTheme="minorHAnsi" w:hAnsiTheme="minorHAnsi"/>
          <w:sz w:val="22"/>
          <w:szCs w:val="22"/>
        </w:rPr>
        <w:t>s</w:t>
      </w:r>
      <w:r w:rsidR="008C5101" w:rsidRPr="009A298C">
        <w:rPr>
          <w:rFonts w:asciiTheme="minorHAnsi" w:hAnsiTheme="minorHAnsi"/>
          <w:b/>
          <w:sz w:val="22"/>
          <w:szCs w:val="22"/>
        </w:rPr>
        <w:t>tate-certified plumbing inspector</w:t>
      </w:r>
      <w:r w:rsidR="008C5101" w:rsidRPr="009A298C">
        <w:rPr>
          <w:rFonts w:asciiTheme="minorHAnsi" w:hAnsiTheme="minorHAnsi"/>
          <w:sz w:val="22"/>
          <w:szCs w:val="22"/>
        </w:rPr>
        <w:t>.</w:t>
      </w:r>
    </w:p>
    <w:p w14:paraId="24C33097" w14:textId="77777777" w:rsidR="008C5101" w:rsidRPr="009A298C" w:rsidRDefault="008C5101">
      <w:pPr>
        <w:pStyle w:val="EndnoteText"/>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b/>
          <w:sz w:val="22"/>
          <w:szCs w:val="22"/>
        </w:rPr>
      </w:pPr>
    </w:p>
    <w:p w14:paraId="24C33098" w14:textId="77777777" w:rsidR="008C5101" w:rsidRPr="009A298C" w:rsidRDefault="008C5101" w:rsidP="008C5101">
      <w:pPr>
        <w:numPr>
          <w:ilvl w:val="0"/>
          <w:numId w:val="14"/>
        </w:numPr>
        <w:tabs>
          <w:tab w:val="clear" w:pos="10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hanging="720"/>
        <w:rPr>
          <w:rFonts w:asciiTheme="minorHAnsi" w:hAnsiTheme="minorHAnsi"/>
          <w:sz w:val="22"/>
          <w:szCs w:val="22"/>
        </w:rPr>
      </w:pPr>
      <w:r w:rsidRPr="009A298C">
        <w:rPr>
          <w:rFonts w:asciiTheme="minorHAnsi" w:hAnsiTheme="minorHAnsi"/>
          <w:b/>
          <w:sz w:val="22"/>
          <w:szCs w:val="22"/>
        </w:rPr>
        <w:t>Arrange for final inspection</w:t>
      </w:r>
      <w:r w:rsidRPr="009A298C">
        <w:rPr>
          <w:rFonts w:asciiTheme="minorHAnsi" w:hAnsiTheme="minorHAnsi"/>
          <w:sz w:val="22"/>
          <w:szCs w:val="22"/>
        </w:rPr>
        <w:t xml:space="preserve">.  In addition to a </w:t>
      </w:r>
      <w:r w:rsidR="004561BD" w:rsidRPr="009A298C">
        <w:rPr>
          <w:rFonts w:asciiTheme="minorHAnsi" w:hAnsiTheme="minorHAnsi"/>
          <w:sz w:val="22"/>
          <w:szCs w:val="22"/>
        </w:rPr>
        <w:t>s</w:t>
      </w:r>
      <w:r w:rsidRPr="009A298C">
        <w:rPr>
          <w:rFonts w:asciiTheme="minorHAnsi" w:hAnsiTheme="minorHAnsi"/>
          <w:sz w:val="22"/>
          <w:szCs w:val="22"/>
        </w:rPr>
        <w:t xml:space="preserve">tate-certified plumbing inspector, </w:t>
      </w:r>
      <w:r w:rsidR="004561BD" w:rsidRPr="009A298C">
        <w:rPr>
          <w:rFonts w:asciiTheme="minorHAnsi" w:hAnsiTheme="minorHAnsi"/>
          <w:sz w:val="22"/>
          <w:szCs w:val="22"/>
        </w:rPr>
        <w:t>g</w:t>
      </w:r>
      <w:r w:rsidRPr="009A298C">
        <w:rPr>
          <w:rFonts w:asciiTheme="minorHAnsi" w:hAnsiTheme="minorHAnsi"/>
          <w:sz w:val="22"/>
          <w:szCs w:val="22"/>
        </w:rPr>
        <w:t xml:space="preserve">rantees may request that city and/or utility system inspectors approve the completed work.  As soon as all plumbing connections have been inspected, the </w:t>
      </w:r>
      <w:r w:rsidR="004561BD" w:rsidRPr="009A298C">
        <w:rPr>
          <w:rFonts w:asciiTheme="minorHAnsi" w:hAnsiTheme="minorHAnsi"/>
          <w:sz w:val="22"/>
          <w:szCs w:val="22"/>
        </w:rPr>
        <w:t>g</w:t>
      </w:r>
      <w:r w:rsidRPr="009A298C">
        <w:rPr>
          <w:rFonts w:asciiTheme="minorHAnsi" w:hAnsiTheme="minorHAnsi"/>
          <w:sz w:val="22"/>
          <w:szCs w:val="22"/>
        </w:rPr>
        <w:t>rantee must schedule a final contract inspection to be attended by the project administrator, Arkansas Economic Development</w:t>
      </w:r>
      <w:r w:rsidR="00893365" w:rsidRPr="009A298C">
        <w:rPr>
          <w:rFonts w:asciiTheme="minorHAnsi" w:hAnsiTheme="minorHAnsi"/>
          <w:sz w:val="22"/>
          <w:szCs w:val="22"/>
        </w:rPr>
        <w:t xml:space="preserve"> Commission</w:t>
      </w:r>
      <w:r w:rsidRPr="009A298C">
        <w:rPr>
          <w:rFonts w:asciiTheme="minorHAnsi" w:hAnsiTheme="minorHAnsi"/>
          <w:sz w:val="22"/>
          <w:szCs w:val="22"/>
        </w:rPr>
        <w:t xml:space="preserve">, the contractor, and the </w:t>
      </w:r>
      <w:r w:rsidR="004561BD" w:rsidRPr="009A298C">
        <w:rPr>
          <w:rFonts w:asciiTheme="minorHAnsi" w:hAnsiTheme="minorHAnsi"/>
          <w:sz w:val="22"/>
          <w:szCs w:val="22"/>
        </w:rPr>
        <w:t>g</w:t>
      </w:r>
      <w:r w:rsidRPr="009A298C">
        <w:rPr>
          <w:rFonts w:asciiTheme="minorHAnsi" w:hAnsiTheme="minorHAnsi"/>
          <w:sz w:val="22"/>
          <w:szCs w:val="22"/>
        </w:rPr>
        <w:t xml:space="preserve">rantee if requested by the </w:t>
      </w:r>
      <w:r w:rsidR="00AE22E4" w:rsidRPr="009A298C">
        <w:rPr>
          <w:rFonts w:asciiTheme="minorHAnsi" w:hAnsiTheme="minorHAnsi"/>
          <w:sz w:val="22"/>
          <w:szCs w:val="22"/>
        </w:rPr>
        <w:t>grants division</w:t>
      </w:r>
      <w:r w:rsidRPr="009A298C">
        <w:rPr>
          <w:rFonts w:asciiTheme="minorHAnsi" w:hAnsiTheme="minorHAnsi"/>
          <w:sz w:val="22"/>
          <w:szCs w:val="22"/>
        </w:rPr>
        <w:t xml:space="preserve">.  A letter or other written documentation from the </w:t>
      </w:r>
      <w:r w:rsidR="004561BD" w:rsidRPr="009A298C">
        <w:rPr>
          <w:rFonts w:asciiTheme="minorHAnsi" w:hAnsiTheme="minorHAnsi"/>
          <w:sz w:val="22"/>
          <w:szCs w:val="22"/>
        </w:rPr>
        <w:t>s</w:t>
      </w:r>
      <w:r w:rsidRPr="009A298C">
        <w:rPr>
          <w:rFonts w:asciiTheme="minorHAnsi" w:hAnsiTheme="minorHAnsi"/>
          <w:sz w:val="22"/>
          <w:szCs w:val="22"/>
        </w:rPr>
        <w:t xml:space="preserve">tate-certified inspector certifying completion of the work in accordance with </w:t>
      </w:r>
      <w:r w:rsidR="004561BD" w:rsidRPr="009A298C">
        <w:rPr>
          <w:rFonts w:asciiTheme="minorHAnsi" w:hAnsiTheme="minorHAnsi"/>
          <w:sz w:val="22"/>
          <w:szCs w:val="22"/>
        </w:rPr>
        <w:t>s</w:t>
      </w:r>
      <w:r w:rsidRPr="009A298C">
        <w:rPr>
          <w:rFonts w:asciiTheme="minorHAnsi" w:hAnsiTheme="minorHAnsi"/>
          <w:sz w:val="22"/>
          <w:szCs w:val="22"/>
        </w:rPr>
        <w:t xml:space="preserve">tate law must be received by the </w:t>
      </w:r>
      <w:r w:rsidR="00AE22E4" w:rsidRPr="009A298C">
        <w:rPr>
          <w:rFonts w:asciiTheme="minorHAnsi" w:hAnsiTheme="minorHAnsi"/>
          <w:sz w:val="22"/>
          <w:szCs w:val="22"/>
        </w:rPr>
        <w:t>grants division</w:t>
      </w:r>
      <w:r w:rsidRPr="009A298C">
        <w:rPr>
          <w:rFonts w:asciiTheme="minorHAnsi" w:hAnsiTheme="minorHAnsi"/>
          <w:sz w:val="22"/>
          <w:szCs w:val="22"/>
        </w:rPr>
        <w:t xml:space="preserve"> prior to scheduling of the final contract inspection and subsequent release of final payment.  (See </w:t>
      </w:r>
      <w:r w:rsidR="00873A2A" w:rsidRPr="009A298C">
        <w:rPr>
          <w:rFonts w:asciiTheme="minorHAnsi" w:hAnsiTheme="minorHAnsi"/>
          <w:sz w:val="22"/>
          <w:szCs w:val="22"/>
          <w:u w:val="single"/>
        </w:rPr>
        <w:t>Form</w:t>
      </w:r>
      <w:r w:rsidRPr="009A298C">
        <w:rPr>
          <w:rFonts w:asciiTheme="minorHAnsi" w:hAnsiTheme="minorHAnsi"/>
          <w:sz w:val="22"/>
          <w:szCs w:val="22"/>
          <w:u w:val="single"/>
        </w:rPr>
        <w:t xml:space="preserve"> </w:t>
      </w:r>
      <w:r w:rsidR="007845B3" w:rsidRPr="009A298C">
        <w:rPr>
          <w:rFonts w:asciiTheme="minorHAnsi" w:hAnsiTheme="minorHAnsi"/>
          <w:sz w:val="22"/>
          <w:szCs w:val="22"/>
          <w:u w:val="single"/>
        </w:rPr>
        <w:t>87</w:t>
      </w:r>
      <w:r w:rsidRPr="009A298C">
        <w:rPr>
          <w:rFonts w:asciiTheme="minorHAnsi" w:hAnsiTheme="minorHAnsi"/>
          <w:sz w:val="22"/>
          <w:szCs w:val="22"/>
        </w:rPr>
        <w:t xml:space="preserve"> for a sample Plumbing Inspection Clearance Letter for the entire project and </w:t>
      </w:r>
      <w:r w:rsidR="00873A2A" w:rsidRPr="009A298C">
        <w:rPr>
          <w:rFonts w:asciiTheme="minorHAnsi" w:hAnsiTheme="minorHAnsi"/>
          <w:sz w:val="22"/>
          <w:szCs w:val="22"/>
          <w:u w:val="single"/>
        </w:rPr>
        <w:t>Form</w:t>
      </w:r>
      <w:r w:rsidRPr="009A298C">
        <w:rPr>
          <w:rFonts w:asciiTheme="minorHAnsi" w:hAnsiTheme="minorHAnsi"/>
          <w:sz w:val="22"/>
          <w:szCs w:val="22"/>
          <w:u w:val="single"/>
        </w:rPr>
        <w:t xml:space="preserve"> </w:t>
      </w:r>
      <w:r w:rsidR="00C34057" w:rsidRPr="009A298C">
        <w:rPr>
          <w:rFonts w:asciiTheme="minorHAnsi" w:hAnsiTheme="minorHAnsi"/>
          <w:sz w:val="22"/>
          <w:szCs w:val="22"/>
          <w:u w:val="single"/>
        </w:rPr>
        <w:t>88</w:t>
      </w:r>
      <w:r w:rsidRPr="009A298C">
        <w:rPr>
          <w:rFonts w:asciiTheme="minorHAnsi" w:hAnsiTheme="minorHAnsi"/>
          <w:sz w:val="22"/>
          <w:szCs w:val="22"/>
        </w:rPr>
        <w:t xml:space="preserve"> for a sample inspection certification clearance for each individual home.)</w:t>
      </w:r>
    </w:p>
    <w:p w14:paraId="24C33099" w14:textId="77777777" w:rsidR="008C5101" w:rsidRPr="009A298C" w:rsidRDefault="008C5101">
      <w:pPr>
        <w:pStyle w:val="EndnoteText"/>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sz w:val="22"/>
          <w:szCs w:val="22"/>
        </w:rPr>
      </w:pPr>
    </w:p>
    <w:p w14:paraId="24C3309B" w14:textId="5BAD5A90" w:rsidR="008C5101" w:rsidRPr="009A298C" w:rsidRDefault="008C5101" w:rsidP="009A29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hanging="810"/>
        <w:rPr>
          <w:rFonts w:asciiTheme="minorHAnsi" w:hAnsiTheme="minorHAnsi"/>
          <w:sz w:val="22"/>
          <w:szCs w:val="22"/>
        </w:rPr>
      </w:pPr>
      <w:r w:rsidRPr="009A298C">
        <w:rPr>
          <w:rFonts w:asciiTheme="minorHAnsi" w:hAnsiTheme="minorHAnsi"/>
          <w:sz w:val="22"/>
          <w:szCs w:val="22"/>
        </w:rPr>
        <w:t>Q.</w:t>
      </w:r>
      <w:r w:rsidRPr="009A298C">
        <w:rPr>
          <w:rFonts w:asciiTheme="minorHAnsi" w:hAnsiTheme="minorHAnsi"/>
          <w:sz w:val="22"/>
          <w:szCs w:val="22"/>
        </w:rPr>
        <w:tab/>
      </w:r>
      <w:r w:rsidRPr="009A298C">
        <w:rPr>
          <w:rFonts w:asciiTheme="minorHAnsi" w:hAnsiTheme="minorHAnsi"/>
          <w:b/>
          <w:sz w:val="22"/>
          <w:szCs w:val="22"/>
        </w:rPr>
        <w:t xml:space="preserve">Submit Release of Lien Form and </w:t>
      </w:r>
      <w:r w:rsidR="004F516F" w:rsidRPr="009A298C">
        <w:rPr>
          <w:rFonts w:asciiTheme="minorHAnsi" w:hAnsiTheme="minorHAnsi"/>
          <w:b/>
          <w:sz w:val="22"/>
          <w:szCs w:val="22"/>
        </w:rPr>
        <w:t>Certificate of Substantial Completion</w:t>
      </w:r>
      <w:r w:rsidRPr="009A298C">
        <w:rPr>
          <w:rFonts w:asciiTheme="minorHAnsi" w:hAnsiTheme="minorHAnsi"/>
          <w:sz w:val="22"/>
          <w:szCs w:val="22"/>
        </w:rPr>
        <w:t xml:space="preserve"> (</w:t>
      </w:r>
      <w:r w:rsidR="00873A2A" w:rsidRPr="009A298C">
        <w:rPr>
          <w:rFonts w:asciiTheme="minorHAnsi" w:hAnsiTheme="minorHAnsi"/>
          <w:sz w:val="22"/>
          <w:szCs w:val="22"/>
          <w:u w:val="single"/>
        </w:rPr>
        <w:t>Form</w:t>
      </w:r>
      <w:r w:rsidRPr="009A298C">
        <w:rPr>
          <w:rFonts w:asciiTheme="minorHAnsi" w:hAnsiTheme="minorHAnsi"/>
          <w:sz w:val="22"/>
          <w:szCs w:val="22"/>
          <w:u w:val="single"/>
        </w:rPr>
        <w:t>s</w:t>
      </w:r>
      <w:r w:rsidRPr="009A298C">
        <w:rPr>
          <w:rFonts w:asciiTheme="minorHAnsi" w:hAnsiTheme="minorHAnsi"/>
          <w:sz w:val="22"/>
          <w:szCs w:val="22"/>
        </w:rPr>
        <w:t xml:space="preserve"> </w:t>
      </w:r>
      <w:r w:rsidR="00C34057" w:rsidRPr="009A298C">
        <w:rPr>
          <w:rFonts w:asciiTheme="minorHAnsi" w:hAnsiTheme="minorHAnsi"/>
          <w:sz w:val="22"/>
          <w:szCs w:val="22"/>
          <w:u w:val="single"/>
        </w:rPr>
        <w:t>72</w:t>
      </w:r>
      <w:r w:rsidRPr="009A298C">
        <w:rPr>
          <w:rFonts w:asciiTheme="minorHAnsi" w:hAnsiTheme="minorHAnsi"/>
          <w:sz w:val="22"/>
          <w:szCs w:val="22"/>
          <w:u w:val="single"/>
        </w:rPr>
        <w:t xml:space="preserve"> and </w:t>
      </w:r>
      <w:r w:rsidR="00C34057" w:rsidRPr="009A298C">
        <w:rPr>
          <w:rFonts w:asciiTheme="minorHAnsi" w:hAnsiTheme="minorHAnsi"/>
          <w:sz w:val="22"/>
          <w:szCs w:val="22"/>
          <w:u w:val="single"/>
        </w:rPr>
        <w:t>73</w:t>
      </w:r>
      <w:r w:rsidRPr="009A298C">
        <w:rPr>
          <w:rFonts w:asciiTheme="minorHAnsi" w:hAnsiTheme="minorHAnsi"/>
          <w:sz w:val="22"/>
          <w:szCs w:val="22"/>
        </w:rPr>
        <w:t xml:space="preserve"> respectively) to the Arkansas Economic Development </w:t>
      </w:r>
      <w:r w:rsidR="00893365" w:rsidRPr="009A298C">
        <w:rPr>
          <w:rFonts w:asciiTheme="minorHAnsi" w:hAnsiTheme="minorHAnsi"/>
          <w:sz w:val="22"/>
          <w:szCs w:val="22"/>
        </w:rPr>
        <w:t xml:space="preserve">Commission </w:t>
      </w:r>
      <w:r w:rsidRPr="009A298C">
        <w:rPr>
          <w:rFonts w:asciiTheme="minorHAnsi" w:hAnsiTheme="minorHAnsi"/>
          <w:sz w:val="22"/>
          <w:szCs w:val="22"/>
        </w:rPr>
        <w:t>when requesting final payment to the contractor.</w:t>
      </w:r>
    </w:p>
    <w:p w14:paraId="24C3309C" w14:textId="77777777" w:rsidR="00624E68" w:rsidRPr="009A298C" w:rsidRDefault="00624E68">
      <w:pPr>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s>
        <w:suppressAutoHyphens/>
        <w:ind w:left="540"/>
        <w:rPr>
          <w:rFonts w:asciiTheme="minorHAnsi" w:hAnsiTheme="minorHAnsi"/>
          <w:sz w:val="22"/>
          <w:szCs w:val="22"/>
        </w:rPr>
      </w:pPr>
    </w:p>
    <w:p w14:paraId="24C330B4" w14:textId="317B41DF" w:rsidR="008C5101" w:rsidRPr="009A298C" w:rsidRDefault="008C5101" w:rsidP="009A298C">
      <w:pPr>
        <w:pStyle w:val="Heading6"/>
        <w:rPr>
          <w:rFonts w:asciiTheme="minorHAnsi" w:hAnsiTheme="minorHAnsi"/>
          <w:sz w:val="22"/>
          <w:szCs w:val="22"/>
        </w:rPr>
      </w:pPr>
      <w:r w:rsidRPr="009A298C">
        <w:rPr>
          <w:rFonts w:asciiTheme="minorHAnsi" w:hAnsiTheme="minorHAnsi"/>
          <w:sz w:val="22"/>
          <w:szCs w:val="22"/>
        </w:rPr>
        <w:t xml:space="preserve">ARKANSAS ECONOMIC DEVELOPMENT </w:t>
      </w:r>
      <w:r w:rsidR="009A298C">
        <w:rPr>
          <w:rFonts w:asciiTheme="minorHAnsi" w:hAnsiTheme="minorHAnsi"/>
          <w:sz w:val="22"/>
          <w:szCs w:val="22"/>
        </w:rPr>
        <w:t xml:space="preserve">COMMISSION </w:t>
      </w:r>
      <w:r w:rsidRPr="009A298C">
        <w:rPr>
          <w:rFonts w:asciiTheme="minorHAnsi" w:hAnsiTheme="minorHAnsi"/>
          <w:sz w:val="22"/>
          <w:szCs w:val="22"/>
        </w:rPr>
        <w:t>HOOKUP POLICIES</w:t>
      </w:r>
    </w:p>
    <w:p w14:paraId="24C330B5" w14:textId="77777777" w:rsidR="008C5101" w:rsidRPr="009A298C" w:rsidRDefault="008C5101">
      <w:pPr>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b/>
          <w:sz w:val="22"/>
          <w:szCs w:val="22"/>
        </w:rPr>
      </w:pPr>
    </w:p>
    <w:p w14:paraId="24C330B6" w14:textId="77777777" w:rsidR="008C5101" w:rsidRPr="009A298C" w:rsidRDefault="008C5101">
      <w:pPr>
        <w:numPr>
          <w:ilvl w:val="0"/>
          <w:numId w:val="1"/>
        </w:numPr>
        <w:tabs>
          <w:tab w:val="left" w:pos="720"/>
          <w:tab w:val="left" w:pos="108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sz w:val="22"/>
          <w:szCs w:val="22"/>
        </w:rPr>
      </w:pPr>
      <w:r w:rsidRPr="009A298C">
        <w:rPr>
          <w:rFonts w:asciiTheme="minorHAnsi" w:hAnsiTheme="minorHAnsi"/>
          <w:sz w:val="22"/>
          <w:szCs w:val="22"/>
        </w:rPr>
        <w:t xml:space="preserve">Generally, service line connections cannot be more than 300 feet from the existing lateral line. Costs for service lines greater than 300 feet will be borne by the owner unless a request for variance has been submitted to and approved by the Arkansas Economic Development </w:t>
      </w:r>
      <w:r w:rsidR="00893365" w:rsidRPr="009A298C">
        <w:rPr>
          <w:rFonts w:asciiTheme="minorHAnsi" w:hAnsiTheme="minorHAnsi"/>
          <w:sz w:val="22"/>
          <w:szCs w:val="22"/>
        </w:rPr>
        <w:t xml:space="preserve">Commission </w:t>
      </w:r>
      <w:r w:rsidRPr="009A298C">
        <w:rPr>
          <w:rFonts w:asciiTheme="minorHAnsi" w:hAnsiTheme="minorHAnsi"/>
          <w:sz w:val="22"/>
          <w:szCs w:val="22"/>
        </w:rPr>
        <w:t>prior to commencement of the work.</w:t>
      </w:r>
    </w:p>
    <w:p w14:paraId="24C330B7" w14:textId="77777777" w:rsidR="008C5101" w:rsidRPr="009A298C" w:rsidRDefault="008C5101">
      <w:pPr>
        <w:numPr>
          <w:ilvl w:val="0"/>
          <w:numId w:val="1"/>
        </w:numPr>
        <w:tabs>
          <w:tab w:val="left" w:pos="720"/>
          <w:tab w:val="left" w:pos="108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sz w:val="22"/>
          <w:szCs w:val="22"/>
        </w:rPr>
      </w:pPr>
      <w:r w:rsidRPr="009A298C">
        <w:rPr>
          <w:rFonts w:asciiTheme="minorHAnsi" w:hAnsiTheme="minorHAnsi"/>
          <w:sz w:val="22"/>
          <w:szCs w:val="22"/>
        </w:rPr>
        <w:t>Under no circumstances will hookup costs incurred on private property of non-LMI residents be paid for with grant funds.</w:t>
      </w:r>
    </w:p>
    <w:p w14:paraId="24C330B8" w14:textId="77777777" w:rsidR="008C5101" w:rsidRPr="009A298C" w:rsidRDefault="008C5101">
      <w:pPr>
        <w:numPr>
          <w:ilvl w:val="0"/>
          <w:numId w:val="1"/>
        </w:numPr>
        <w:tabs>
          <w:tab w:val="left" w:pos="720"/>
          <w:tab w:val="left" w:pos="108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sz w:val="22"/>
          <w:szCs w:val="22"/>
        </w:rPr>
      </w:pPr>
      <w:r w:rsidRPr="009A298C">
        <w:rPr>
          <w:rFonts w:asciiTheme="minorHAnsi" w:hAnsiTheme="minorHAnsi"/>
          <w:sz w:val="22"/>
          <w:szCs w:val="22"/>
        </w:rPr>
        <w:t xml:space="preserve">Homeowners are eligible for hookups if they meet income criteria and provide proof of home ownership.  Rental property is eligible for plumbing hookups if the tenant </w:t>
      </w:r>
      <w:r w:rsidRPr="009A298C">
        <w:rPr>
          <w:rFonts w:asciiTheme="minorHAnsi" w:hAnsiTheme="minorHAnsi"/>
          <w:sz w:val="22"/>
          <w:szCs w:val="22"/>
        </w:rPr>
        <w:lastRenderedPageBreak/>
        <w:t xml:space="preserve">meets income criteria and a rent control agreement for at least 12 months has been executed with the homeowner.  Homeowners must meet specific length of ownership requirements of improved residences (i.e., indoor modifications), as specified in </w:t>
      </w:r>
      <w:r w:rsidR="00873A2A" w:rsidRPr="009A298C">
        <w:rPr>
          <w:rFonts w:asciiTheme="minorHAnsi" w:hAnsiTheme="minorHAnsi"/>
          <w:sz w:val="22"/>
          <w:szCs w:val="22"/>
          <w:u w:val="single"/>
        </w:rPr>
        <w:t>Form</w:t>
      </w:r>
      <w:r w:rsidRPr="009A298C">
        <w:rPr>
          <w:rFonts w:asciiTheme="minorHAnsi" w:hAnsiTheme="minorHAnsi"/>
          <w:sz w:val="22"/>
          <w:szCs w:val="22"/>
          <w:u w:val="single"/>
        </w:rPr>
        <w:t xml:space="preserve"> </w:t>
      </w:r>
      <w:r w:rsidR="00C34057" w:rsidRPr="009A298C">
        <w:rPr>
          <w:rFonts w:asciiTheme="minorHAnsi" w:hAnsiTheme="minorHAnsi"/>
          <w:sz w:val="22"/>
          <w:szCs w:val="22"/>
          <w:u w:val="single"/>
        </w:rPr>
        <w:t>76</w:t>
      </w:r>
      <w:r w:rsidRPr="009A298C">
        <w:rPr>
          <w:rFonts w:asciiTheme="minorHAnsi" w:hAnsiTheme="minorHAnsi"/>
          <w:sz w:val="22"/>
          <w:szCs w:val="22"/>
        </w:rPr>
        <w:t>.</w:t>
      </w:r>
    </w:p>
    <w:p w14:paraId="24C330B9" w14:textId="77777777" w:rsidR="008C5101" w:rsidRPr="009A298C" w:rsidRDefault="008C5101">
      <w:pPr>
        <w:numPr>
          <w:ilvl w:val="0"/>
          <w:numId w:val="1"/>
        </w:numPr>
        <w:tabs>
          <w:tab w:val="left" w:pos="720"/>
          <w:tab w:val="left" w:pos="108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sz w:val="22"/>
          <w:szCs w:val="22"/>
        </w:rPr>
      </w:pPr>
      <w:r w:rsidRPr="009A298C">
        <w:rPr>
          <w:rFonts w:asciiTheme="minorHAnsi" w:hAnsiTheme="minorHAnsi"/>
          <w:sz w:val="22"/>
          <w:szCs w:val="22"/>
        </w:rPr>
        <w:t>Hookup only projects will require income verification information prior to grant development.  If hookups are part of a larger distribution or collection system project, work write-ups and income verification information must be submitted prior to contract advertisement for contract bids.</w:t>
      </w:r>
    </w:p>
    <w:p w14:paraId="24C330BA" w14:textId="77777777" w:rsidR="008C5101" w:rsidRPr="009A298C" w:rsidRDefault="008C5101">
      <w:pPr>
        <w:numPr>
          <w:ilvl w:val="0"/>
          <w:numId w:val="1"/>
        </w:numPr>
        <w:tabs>
          <w:tab w:val="left" w:pos="720"/>
          <w:tab w:val="left" w:pos="108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sz w:val="22"/>
          <w:szCs w:val="22"/>
        </w:rPr>
      </w:pPr>
      <w:r w:rsidRPr="009A298C">
        <w:rPr>
          <w:rFonts w:asciiTheme="minorHAnsi" w:hAnsiTheme="minorHAnsi"/>
          <w:sz w:val="22"/>
          <w:szCs w:val="22"/>
        </w:rPr>
        <w:t>Hookup costs are generally limited to $1,</w:t>
      </w:r>
      <w:r w:rsidR="004561BD" w:rsidRPr="009A298C">
        <w:rPr>
          <w:rFonts w:asciiTheme="minorHAnsi" w:hAnsiTheme="minorHAnsi"/>
          <w:sz w:val="22"/>
          <w:szCs w:val="22"/>
        </w:rPr>
        <w:t>5</w:t>
      </w:r>
      <w:r w:rsidRPr="009A298C">
        <w:rPr>
          <w:rFonts w:asciiTheme="minorHAnsi" w:hAnsiTheme="minorHAnsi"/>
          <w:sz w:val="22"/>
          <w:szCs w:val="22"/>
        </w:rPr>
        <w:t xml:space="preserve">00 per structure; however, additional work required </w:t>
      </w:r>
      <w:r w:rsidR="004561BD" w:rsidRPr="009A298C">
        <w:rPr>
          <w:rFonts w:asciiTheme="minorHAnsi" w:hAnsiTheme="minorHAnsi"/>
          <w:sz w:val="22"/>
          <w:szCs w:val="22"/>
        </w:rPr>
        <w:t xml:space="preserve">to meet minimum health </w:t>
      </w:r>
      <w:r w:rsidR="00603E72" w:rsidRPr="009A298C">
        <w:rPr>
          <w:rFonts w:asciiTheme="minorHAnsi" w:hAnsiTheme="minorHAnsi"/>
          <w:sz w:val="22"/>
          <w:szCs w:val="22"/>
        </w:rPr>
        <w:t xml:space="preserve">standards </w:t>
      </w:r>
      <w:r w:rsidRPr="009A298C">
        <w:rPr>
          <w:rFonts w:asciiTheme="minorHAnsi" w:hAnsiTheme="minorHAnsi"/>
          <w:sz w:val="22"/>
          <w:szCs w:val="22"/>
        </w:rPr>
        <w:t>can exceed $1,</w:t>
      </w:r>
      <w:r w:rsidR="005F3C8E" w:rsidRPr="009A298C">
        <w:rPr>
          <w:rFonts w:asciiTheme="minorHAnsi" w:hAnsiTheme="minorHAnsi"/>
          <w:sz w:val="22"/>
          <w:szCs w:val="22"/>
        </w:rPr>
        <w:t>5</w:t>
      </w:r>
      <w:r w:rsidRPr="009A298C">
        <w:rPr>
          <w:rFonts w:asciiTheme="minorHAnsi" w:hAnsiTheme="minorHAnsi"/>
          <w:sz w:val="22"/>
          <w:szCs w:val="22"/>
        </w:rPr>
        <w:t xml:space="preserve">00 with prior Arkansas Economic Development </w:t>
      </w:r>
      <w:r w:rsidR="00893365" w:rsidRPr="009A298C">
        <w:rPr>
          <w:rFonts w:asciiTheme="minorHAnsi" w:hAnsiTheme="minorHAnsi"/>
          <w:sz w:val="22"/>
          <w:szCs w:val="22"/>
        </w:rPr>
        <w:t xml:space="preserve">Commission </w:t>
      </w:r>
      <w:r w:rsidRPr="009A298C">
        <w:rPr>
          <w:rFonts w:asciiTheme="minorHAnsi" w:hAnsiTheme="minorHAnsi"/>
          <w:sz w:val="22"/>
          <w:szCs w:val="22"/>
        </w:rPr>
        <w:t>approval.</w:t>
      </w:r>
    </w:p>
    <w:p w14:paraId="24C330BB" w14:textId="42603E01" w:rsidR="008C5101" w:rsidRPr="009A298C" w:rsidRDefault="008C5101">
      <w:pPr>
        <w:numPr>
          <w:ilvl w:val="0"/>
          <w:numId w:val="1"/>
        </w:numPr>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sz w:val="22"/>
          <w:szCs w:val="22"/>
        </w:rPr>
      </w:pPr>
      <w:r w:rsidRPr="009A298C">
        <w:rPr>
          <w:rFonts w:asciiTheme="minorHAnsi" w:hAnsiTheme="minorHAnsi"/>
          <w:sz w:val="22"/>
          <w:szCs w:val="22"/>
        </w:rPr>
        <w:t xml:space="preserve">Hookups to multi-family structures (e.g., apartment complexes, mobile home parks) which contain some income-ineligible families will require a cost eligibility determination by the Arkansas Economic Development </w:t>
      </w:r>
      <w:r w:rsidR="00893365" w:rsidRPr="009A298C">
        <w:rPr>
          <w:rFonts w:asciiTheme="minorHAnsi" w:hAnsiTheme="minorHAnsi"/>
          <w:sz w:val="22"/>
          <w:szCs w:val="22"/>
        </w:rPr>
        <w:t xml:space="preserve">Commission </w:t>
      </w:r>
      <w:r w:rsidRPr="009A298C">
        <w:rPr>
          <w:rFonts w:asciiTheme="minorHAnsi" w:hAnsiTheme="minorHAnsi"/>
          <w:sz w:val="22"/>
          <w:szCs w:val="22"/>
        </w:rPr>
        <w:t>prior to construction to determine what scope of work may be grant eligible.  As a general rule, direct access connection to individual units must be evaluated on a family-by-family basis.  For example, if one unit of a duplex apartment is occupied by income-eligible renters, then a connection to that unit can be made.  Costs to connect the other residence from a tap off of this line will not be paid by the grant.  A connection to a multi-unit structure can be made at a common meter; however, any branch lines and/or meters must be verified for income eligibility on a unit-by-unit basis.  Improvements to existing multi-unit complexes may be eligible depending on the potential of connecting low</w:t>
      </w:r>
      <w:r w:rsidR="002151FE">
        <w:rPr>
          <w:rFonts w:asciiTheme="minorHAnsi" w:hAnsiTheme="minorHAnsi"/>
          <w:sz w:val="22"/>
          <w:szCs w:val="22"/>
        </w:rPr>
        <w:t>-</w:t>
      </w:r>
      <w:r w:rsidRPr="009A298C">
        <w:rPr>
          <w:rFonts w:asciiTheme="minorHAnsi" w:hAnsiTheme="minorHAnsi"/>
          <w:sz w:val="22"/>
          <w:szCs w:val="22"/>
        </w:rPr>
        <w:t xml:space="preserve"> and moderate</w:t>
      </w:r>
      <w:r w:rsidR="002151FE">
        <w:rPr>
          <w:rFonts w:asciiTheme="minorHAnsi" w:hAnsiTheme="minorHAnsi"/>
          <w:sz w:val="22"/>
          <w:szCs w:val="22"/>
        </w:rPr>
        <w:t>-</w:t>
      </w:r>
      <w:r w:rsidRPr="009A298C">
        <w:rPr>
          <w:rFonts w:asciiTheme="minorHAnsi" w:hAnsiTheme="minorHAnsi"/>
          <w:sz w:val="22"/>
          <w:szCs w:val="22"/>
        </w:rPr>
        <w:t>income residents.</w:t>
      </w:r>
    </w:p>
    <w:p w14:paraId="24C330BC" w14:textId="28CA4FC2" w:rsidR="008C5101" w:rsidRPr="009A298C" w:rsidRDefault="008C5101">
      <w:pPr>
        <w:numPr>
          <w:ilvl w:val="0"/>
          <w:numId w:val="1"/>
        </w:numPr>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sz w:val="22"/>
          <w:szCs w:val="22"/>
        </w:rPr>
      </w:pPr>
      <w:r w:rsidRPr="009A298C">
        <w:rPr>
          <w:rFonts w:asciiTheme="minorHAnsi" w:hAnsiTheme="minorHAnsi"/>
          <w:sz w:val="22"/>
          <w:szCs w:val="22"/>
        </w:rPr>
        <w:t>Occasionally, connection of a low</w:t>
      </w:r>
      <w:r w:rsidR="002151FE">
        <w:rPr>
          <w:rFonts w:asciiTheme="minorHAnsi" w:hAnsiTheme="minorHAnsi"/>
          <w:sz w:val="22"/>
          <w:szCs w:val="22"/>
        </w:rPr>
        <w:t>-</w:t>
      </w:r>
      <w:r w:rsidRPr="009A298C">
        <w:rPr>
          <w:rFonts w:asciiTheme="minorHAnsi" w:hAnsiTheme="minorHAnsi"/>
          <w:sz w:val="22"/>
          <w:szCs w:val="22"/>
        </w:rPr>
        <w:t xml:space="preserve"> or moderate</w:t>
      </w:r>
      <w:r w:rsidR="002151FE">
        <w:rPr>
          <w:rFonts w:asciiTheme="minorHAnsi" w:hAnsiTheme="minorHAnsi"/>
          <w:sz w:val="22"/>
          <w:szCs w:val="22"/>
        </w:rPr>
        <w:t>-</w:t>
      </w:r>
      <w:r w:rsidRPr="009A298C">
        <w:rPr>
          <w:rFonts w:asciiTheme="minorHAnsi" w:hAnsiTheme="minorHAnsi"/>
          <w:sz w:val="22"/>
          <w:szCs w:val="22"/>
        </w:rPr>
        <w:t xml:space="preserve">income residence will require the placement of service line(s) across </w:t>
      </w:r>
      <w:r w:rsidR="00127CB9" w:rsidRPr="009A298C">
        <w:rPr>
          <w:rFonts w:asciiTheme="minorHAnsi" w:hAnsiTheme="minorHAnsi"/>
          <w:sz w:val="22"/>
          <w:szCs w:val="22"/>
        </w:rPr>
        <w:t xml:space="preserve">the property of </w:t>
      </w:r>
      <w:r w:rsidRPr="009A298C">
        <w:rPr>
          <w:rFonts w:asciiTheme="minorHAnsi" w:hAnsiTheme="minorHAnsi"/>
          <w:sz w:val="22"/>
          <w:szCs w:val="22"/>
        </w:rPr>
        <w:t>another residence, which may or may not be part of the project.  Easements must be obtained from all landowners whose property is disturbed by the project.</w:t>
      </w:r>
    </w:p>
    <w:p w14:paraId="24C330BD" w14:textId="77777777" w:rsidR="008C5101" w:rsidRPr="009A298C" w:rsidRDefault="008C5101">
      <w:pPr>
        <w:numPr>
          <w:ilvl w:val="0"/>
          <w:numId w:val="1"/>
        </w:numPr>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sz w:val="22"/>
          <w:szCs w:val="22"/>
        </w:rPr>
      </w:pPr>
      <w:r w:rsidRPr="009A298C">
        <w:rPr>
          <w:rFonts w:asciiTheme="minorHAnsi" w:hAnsiTheme="minorHAnsi"/>
          <w:sz w:val="22"/>
          <w:szCs w:val="22"/>
        </w:rPr>
        <w:t xml:space="preserve">Any variances to </w:t>
      </w:r>
      <w:r w:rsidR="005F3C8E" w:rsidRPr="009A298C">
        <w:rPr>
          <w:rFonts w:asciiTheme="minorHAnsi" w:hAnsiTheme="minorHAnsi"/>
          <w:sz w:val="22"/>
          <w:szCs w:val="22"/>
        </w:rPr>
        <w:t>s</w:t>
      </w:r>
      <w:r w:rsidRPr="009A298C">
        <w:rPr>
          <w:rFonts w:asciiTheme="minorHAnsi" w:hAnsiTheme="minorHAnsi"/>
          <w:sz w:val="22"/>
          <w:szCs w:val="22"/>
        </w:rPr>
        <w:t xml:space="preserve">tate plumbing codes must be acceptable to </w:t>
      </w:r>
      <w:r w:rsidR="008E6C0F" w:rsidRPr="009A298C">
        <w:rPr>
          <w:rFonts w:asciiTheme="minorHAnsi" w:hAnsiTheme="minorHAnsi"/>
          <w:sz w:val="22"/>
          <w:szCs w:val="22"/>
        </w:rPr>
        <w:t>ADH</w:t>
      </w:r>
      <w:r w:rsidRPr="009A298C">
        <w:rPr>
          <w:rFonts w:asciiTheme="minorHAnsi" w:hAnsiTheme="minorHAnsi"/>
          <w:sz w:val="22"/>
          <w:szCs w:val="22"/>
        </w:rPr>
        <w:t>.</w:t>
      </w:r>
    </w:p>
    <w:p w14:paraId="24C330BE" w14:textId="77777777" w:rsidR="008C5101" w:rsidRPr="009A298C" w:rsidRDefault="008C5101">
      <w:pPr>
        <w:numPr>
          <w:ilvl w:val="0"/>
          <w:numId w:val="1"/>
        </w:numPr>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sz w:val="22"/>
          <w:szCs w:val="22"/>
        </w:rPr>
      </w:pPr>
      <w:r w:rsidRPr="009A298C">
        <w:rPr>
          <w:rFonts w:asciiTheme="minorHAnsi" w:hAnsiTheme="minorHAnsi"/>
          <w:sz w:val="22"/>
          <w:szCs w:val="22"/>
        </w:rPr>
        <w:t>Individual contracting between homeowners and contractors is not allowed.</w:t>
      </w:r>
    </w:p>
    <w:p w14:paraId="24C330BF" w14:textId="77777777" w:rsidR="008C5101" w:rsidRPr="009A298C" w:rsidRDefault="008C5101">
      <w:pPr>
        <w:numPr>
          <w:ilvl w:val="0"/>
          <w:numId w:val="1"/>
        </w:numPr>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sz w:val="22"/>
          <w:szCs w:val="22"/>
        </w:rPr>
      </w:pPr>
      <w:r w:rsidRPr="009A298C">
        <w:rPr>
          <w:rFonts w:asciiTheme="minorHAnsi" w:hAnsiTheme="minorHAnsi"/>
          <w:sz w:val="22"/>
          <w:szCs w:val="22"/>
        </w:rPr>
        <w:t>Hookups will not be provided to seasonal structures or residences.</w:t>
      </w:r>
    </w:p>
    <w:p w14:paraId="24C330C0" w14:textId="77777777" w:rsidR="008C5101" w:rsidRPr="009A298C" w:rsidRDefault="008C5101">
      <w:pPr>
        <w:numPr>
          <w:ilvl w:val="0"/>
          <w:numId w:val="1"/>
        </w:numPr>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sz w:val="22"/>
          <w:szCs w:val="22"/>
        </w:rPr>
      </w:pPr>
      <w:r w:rsidRPr="009A298C">
        <w:rPr>
          <w:rFonts w:asciiTheme="minorHAnsi" w:hAnsiTheme="minorHAnsi"/>
          <w:sz w:val="22"/>
          <w:szCs w:val="22"/>
        </w:rPr>
        <w:t>Individuals who prepare work write-ups cannot conduct inspections of completed work.</w:t>
      </w:r>
    </w:p>
    <w:p w14:paraId="24C330C1" w14:textId="77777777" w:rsidR="008C5101" w:rsidRPr="009A298C" w:rsidRDefault="008C5101">
      <w:pPr>
        <w:numPr>
          <w:ilvl w:val="0"/>
          <w:numId w:val="1"/>
        </w:numPr>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sz w:val="22"/>
          <w:szCs w:val="22"/>
        </w:rPr>
      </w:pPr>
      <w:r w:rsidRPr="009A298C">
        <w:rPr>
          <w:rFonts w:asciiTheme="minorHAnsi" w:hAnsiTheme="minorHAnsi"/>
          <w:sz w:val="22"/>
          <w:szCs w:val="22"/>
        </w:rPr>
        <w:t xml:space="preserve">No more than one plumbing fixture/appliance/conversion, in addition to a water heater, may be grant funded per residence unless justified in writing by the </w:t>
      </w:r>
      <w:r w:rsidR="00127CB9" w:rsidRPr="009A298C">
        <w:rPr>
          <w:rFonts w:asciiTheme="minorHAnsi" w:hAnsiTheme="minorHAnsi"/>
          <w:sz w:val="22"/>
          <w:szCs w:val="22"/>
        </w:rPr>
        <w:t>Arkansas Economic Development</w:t>
      </w:r>
      <w:r w:rsidR="00562E2D" w:rsidRPr="009A298C">
        <w:rPr>
          <w:rFonts w:asciiTheme="minorHAnsi" w:hAnsiTheme="minorHAnsi"/>
          <w:sz w:val="22"/>
          <w:szCs w:val="22"/>
        </w:rPr>
        <w:t xml:space="preserve"> </w:t>
      </w:r>
      <w:r w:rsidR="00893365" w:rsidRPr="009A298C">
        <w:rPr>
          <w:rFonts w:asciiTheme="minorHAnsi" w:hAnsiTheme="minorHAnsi"/>
          <w:sz w:val="22"/>
          <w:szCs w:val="22"/>
        </w:rPr>
        <w:t xml:space="preserve">Commission </w:t>
      </w:r>
      <w:r w:rsidRPr="009A298C">
        <w:rPr>
          <w:rFonts w:asciiTheme="minorHAnsi" w:hAnsiTheme="minorHAnsi"/>
          <w:sz w:val="22"/>
          <w:szCs w:val="22"/>
        </w:rPr>
        <w:t>or if additional fixtures will not cause the $1,</w:t>
      </w:r>
      <w:r w:rsidR="005F3C8E" w:rsidRPr="009A298C">
        <w:rPr>
          <w:rFonts w:asciiTheme="minorHAnsi" w:hAnsiTheme="minorHAnsi"/>
          <w:sz w:val="22"/>
          <w:szCs w:val="22"/>
        </w:rPr>
        <w:t>5</w:t>
      </w:r>
      <w:r w:rsidRPr="009A298C">
        <w:rPr>
          <w:rFonts w:asciiTheme="minorHAnsi" w:hAnsiTheme="minorHAnsi"/>
          <w:sz w:val="22"/>
          <w:szCs w:val="22"/>
        </w:rPr>
        <w:t>00 maximum ceiling per residence to be exceeded.</w:t>
      </w:r>
    </w:p>
    <w:p w14:paraId="24C330C2" w14:textId="77777777" w:rsidR="008C5101" w:rsidRPr="009A298C" w:rsidRDefault="008C5101">
      <w:pPr>
        <w:numPr>
          <w:ilvl w:val="0"/>
          <w:numId w:val="1"/>
        </w:numPr>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sz w:val="22"/>
          <w:szCs w:val="22"/>
        </w:rPr>
      </w:pPr>
      <w:r w:rsidRPr="009A298C">
        <w:rPr>
          <w:rFonts w:asciiTheme="minorHAnsi" w:hAnsiTheme="minorHAnsi"/>
          <w:sz w:val="22"/>
          <w:szCs w:val="22"/>
        </w:rPr>
        <w:t>Plumbing improvements will be restricted to the kitchen and master bathroom of the residence.</w:t>
      </w:r>
    </w:p>
    <w:p w14:paraId="24C330C3" w14:textId="77777777" w:rsidR="008C5101" w:rsidRPr="009A298C" w:rsidRDefault="008C5101">
      <w:pPr>
        <w:numPr>
          <w:ilvl w:val="0"/>
          <w:numId w:val="1"/>
        </w:numPr>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sz w:val="22"/>
          <w:szCs w:val="22"/>
        </w:rPr>
      </w:pPr>
      <w:r w:rsidRPr="009A298C">
        <w:rPr>
          <w:rFonts w:asciiTheme="minorHAnsi" w:hAnsiTheme="minorHAnsi"/>
          <w:sz w:val="22"/>
          <w:szCs w:val="22"/>
        </w:rPr>
        <w:t xml:space="preserve">Replacement of existing indoor plumbing will be approved only if Arkansas </w:t>
      </w:r>
      <w:r w:rsidR="005F3C8E" w:rsidRPr="009A298C">
        <w:rPr>
          <w:rFonts w:asciiTheme="minorHAnsi" w:hAnsiTheme="minorHAnsi"/>
          <w:sz w:val="22"/>
          <w:szCs w:val="22"/>
        </w:rPr>
        <w:t>s</w:t>
      </w:r>
      <w:r w:rsidRPr="009A298C">
        <w:rPr>
          <w:rFonts w:asciiTheme="minorHAnsi" w:hAnsiTheme="minorHAnsi"/>
          <w:sz w:val="22"/>
          <w:szCs w:val="22"/>
        </w:rPr>
        <w:t xml:space="preserve">tate </w:t>
      </w:r>
      <w:r w:rsidR="005F3C8E" w:rsidRPr="009A298C">
        <w:rPr>
          <w:rFonts w:asciiTheme="minorHAnsi" w:hAnsiTheme="minorHAnsi"/>
          <w:sz w:val="22"/>
          <w:szCs w:val="22"/>
        </w:rPr>
        <w:t>p</w:t>
      </w:r>
      <w:r w:rsidRPr="009A298C">
        <w:rPr>
          <w:rFonts w:asciiTheme="minorHAnsi" w:hAnsiTheme="minorHAnsi"/>
          <w:sz w:val="22"/>
          <w:szCs w:val="22"/>
        </w:rPr>
        <w:t>lumbing code violations exist.</w:t>
      </w:r>
    </w:p>
    <w:p w14:paraId="24C330C4" w14:textId="77777777" w:rsidR="008C5101" w:rsidRPr="009A298C" w:rsidRDefault="008C5101">
      <w:pPr>
        <w:numPr>
          <w:ilvl w:val="0"/>
          <w:numId w:val="1"/>
        </w:numPr>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sz w:val="22"/>
          <w:szCs w:val="22"/>
        </w:rPr>
      </w:pPr>
      <w:r w:rsidRPr="009A298C">
        <w:rPr>
          <w:rFonts w:asciiTheme="minorHAnsi" w:hAnsiTheme="minorHAnsi"/>
          <w:sz w:val="22"/>
          <w:szCs w:val="22"/>
        </w:rPr>
        <w:t>If connection is provided to a water system and the residence has no wastewater system, grant funds can be used to install wastewater plumbing from the water fixtures and installation of a septic system.  These expenses can exceed the $1,</w:t>
      </w:r>
      <w:r w:rsidR="005F3C8E" w:rsidRPr="009A298C">
        <w:rPr>
          <w:rFonts w:asciiTheme="minorHAnsi" w:hAnsiTheme="minorHAnsi"/>
          <w:sz w:val="22"/>
          <w:szCs w:val="22"/>
        </w:rPr>
        <w:t>5</w:t>
      </w:r>
      <w:r w:rsidRPr="009A298C">
        <w:rPr>
          <w:rFonts w:asciiTheme="minorHAnsi" w:hAnsiTheme="minorHAnsi"/>
          <w:sz w:val="22"/>
          <w:szCs w:val="22"/>
        </w:rPr>
        <w:t>00 ceiling per residence; however, total hookup costs with septic systems that exceed $</w:t>
      </w:r>
      <w:r w:rsidR="005F3C8E" w:rsidRPr="009A298C">
        <w:rPr>
          <w:rFonts w:asciiTheme="minorHAnsi" w:hAnsiTheme="minorHAnsi"/>
          <w:sz w:val="22"/>
          <w:szCs w:val="22"/>
        </w:rPr>
        <w:t>3</w:t>
      </w:r>
      <w:r w:rsidRPr="009A298C">
        <w:rPr>
          <w:rFonts w:asciiTheme="minorHAnsi" w:hAnsiTheme="minorHAnsi"/>
          <w:sz w:val="22"/>
          <w:szCs w:val="22"/>
        </w:rPr>
        <w:t>,</w:t>
      </w:r>
      <w:r w:rsidR="005F3C8E" w:rsidRPr="009A298C">
        <w:rPr>
          <w:rFonts w:asciiTheme="minorHAnsi" w:hAnsiTheme="minorHAnsi"/>
          <w:sz w:val="22"/>
          <w:szCs w:val="22"/>
        </w:rPr>
        <w:t>0</w:t>
      </w:r>
      <w:r w:rsidRPr="009A298C">
        <w:rPr>
          <w:rFonts w:asciiTheme="minorHAnsi" w:hAnsiTheme="minorHAnsi"/>
          <w:sz w:val="22"/>
          <w:szCs w:val="22"/>
        </w:rPr>
        <w:t xml:space="preserve">00 per structure must be approved by the Arkansas Economic Development </w:t>
      </w:r>
      <w:r w:rsidR="00893365" w:rsidRPr="009A298C">
        <w:rPr>
          <w:rFonts w:asciiTheme="minorHAnsi" w:hAnsiTheme="minorHAnsi"/>
          <w:sz w:val="22"/>
          <w:szCs w:val="22"/>
        </w:rPr>
        <w:t xml:space="preserve">Commission </w:t>
      </w:r>
      <w:r w:rsidRPr="009A298C">
        <w:rPr>
          <w:rFonts w:asciiTheme="minorHAnsi" w:hAnsiTheme="minorHAnsi"/>
          <w:sz w:val="22"/>
          <w:szCs w:val="22"/>
        </w:rPr>
        <w:t>prior to commencement of work.</w:t>
      </w:r>
    </w:p>
    <w:p w14:paraId="24C330C5" w14:textId="77777777" w:rsidR="008C5101" w:rsidRPr="009A298C" w:rsidRDefault="008C5101">
      <w:pPr>
        <w:numPr>
          <w:ilvl w:val="0"/>
          <w:numId w:val="1"/>
        </w:numPr>
        <w:tabs>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s>
        <w:suppressAutoHyphens/>
        <w:rPr>
          <w:rFonts w:asciiTheme="minorHAnsi" w:hAnsiTheme="minorHAnsi"/>
          <w:sz w:val="22"/>
          <w:szCs w:val="22"/>
        </w:rPr>
      </w:pPr>
      <w:r w:rsidRPr="009A298C">
        <w:rPr>
          <w:rFonts w:asciiTheme="minorHAnsi" w:hAnsiTheme="minorHAnsi"/>
          <w:sz w:val="22"/>
          <w:szCs w:val="22"/>
        </w:rPr>
        <w:lastRenderedPageBreak/>
        <w:t>Most carpentry expenses are ineligible for grant reimbursement; however, incidental expenses to install approved appliances (e.g., small vanities, minor framing, etc.) are allowable.</w:t>
      </w:r>
    </w:p>
    <w:p w14:paraId="6E19D5AB" w14:textId="19D56260" w:rsidR="00C94D4B" w:rsidRPr="006E5A9C" w:rsidRDefault="008C5101" w:rsidP="00BC4BB7">
      <w:pPr>
        <w:numPr>
          <w:ilvl w:val="0"/>
          <w:numId w:val="1"/>
        </w:numPr>
        <w:tabs>
          <w:tab w:val="left" w:pos="63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s>
        <w:suppressAutoHyphens/>
        <w:ind w:right="144"/>
        <w:rPr>
          <w:rFonts w:asciiTheme="minorHAnsi" w:hAnsiTheme="minorHAnsi"/>
          <w:sz w:val="22"/>
          <w:szCs w:val="22"/>
        </w:rPr>
      </w:pPr>
      <w:r w:rsidRPr="006E5A9C">
        <w:rPr>
          <w:rFonts w:asciiTheme="minorHAnsi" w:hAnsiTheme="minorHAnsi"/>
          <w:sz w:val="22"/>
          <w:szCs w:val="22"/>
        </w:rPr>
        <w:t xml:space="preserve">If write-ups are not completed in entirety by </w:t>
      </w:r>
      <w:r w:rsidR="008E6C0F" w:rsidRPr="006E5A9C">
        <w:rPr>
          <w:rFonts w:asciiTheme="minorHAnsi" w:hAnsiTheme="minorHAnsi"/>
          <w:sz w:val="22"/>
          <w:szCs w:val="22"/>
        </w:rPr>
        <w:t>ADH</w:t>
      </w:r>
      <w:r w:rsidRPr="006E5A9C">
        <w:rPr>
          <w:rFonts w:asciiTheme="minorHAnsi" w:hAnsiTheme="minorHAnsi"/>
          <w:sz w:val="22"/>
          <w:szCs w:val="22"/>
        </w:rPr>
        <w:t xml:space="preserve"> personnel, ACEDP grant reimbursement may not exceed the following:  $30.00 per write-up to administrators who accompany/assist </w:t>
      </w:r>
      <w:r w:rsidR="008E6C0F" w:rsidRPr="006E5A9C">
        <w:rPr>
          <w:rFonts w:asciiTheme="minorHAnsi" w:hAnsiTheme="minorHAnsi"/>
          <w:sz w:val="22"/>
          <w:szCs w:val="22"/>
        </w:rPr>
        <w:t>ADH</w:t>
      </w:r>
      <w:r w:rsidRPr="006E5A9C">
        <w:rPr>
          <w:rFonts w:asciiTheme="minorHAnsi" w:hAnsiTheme="minorHAnsi"/>
          <w:sz w:val="22"/>
          <w:szCs w:val="22"/>
        </w:rPr>
        <w:t xml:space="preserve"> personnel with write-up work or $75.00 per write-up when write-ups are prepared by procured write-up specialists without assistance</w:t>
      </w:r>
      <w:r w:rsidR="00127CB9" w:rsidRPr="006E5A9C">
        <w:rPr>
          <w:rFonts w:asciiTheme="minorHAnsi" w:hAnsiTheme="minorHAnsi"/>
          <w:sz w:val="22"/>
          <w:szCs w:val="22"/>
        </w:rPr>
        <w:t xml:space="preserve"> from the administrator</w:t>
      </w:r>
      <w:r w:rsidRPr="006E5A9C">
        <w:rPr>
          <w:rFonts w:asciiTheme="minorHAnsi" w:hAnsiTheme="minorHAnsi"/>
          <w:sz w:val="22"/>
          <w:szCs w:val="22"/>
        </w:rPr>
        <w:t>.  If the administrator does</w:t>
      </w:r>
      <w:r w:rsidR="000840B0" w:rsidRPr="006E5A9C">
        <w:rPr>
          <w:rFonts w:asciiTheme="minorHAnsi" w:hAnsiTheme="minorHAnsi"/>
          <w:sz w:val="22"/>
          <w:szCs w:val="22"/>
        </w:rPr>
        <w:t xml:space="preserve"> assist with the write-ups</w:t>
      </w:r>
      <w:r w:rsidRPr="006E5A9C">
        <w:rPr>
          <w:rFonts w:asciiTheme="minorHAnsi" w:hAnsiTheme="minorHAnsi"/>
          <w:sz w:val="22"/>
          <w:szCs w:val="22"/>
        </w:rPr>
        <w:t xml:space="preserve">, an amendment to their contract must be prepared.  However, documentation of </w:t>
      </w:r>
      <w:r w:rsidR="008E6C0F" w:rsidRPr="006E5A9C">
        <w:rPr>
          <w:rFonts w:asciiTheme="minorHAnsi" w:hAnsiTheme="minorHAnsi"/>
          <w:sz w:val="22"/>
          <w:szCs w:val="22"/>
        </w:rPr>
        <w:t>ADH</w:t>
      </w:r>
      <w:r w:rsidRPr="006E5A9C">
        <w:rPr>
          <w:rFonts w:asciiTheme="minorHAnsi" w:hAnsiTheme="minorHAnsi"/>
          <w:sz w:val="22"/>
          <w:szCs w:val="22"/>
        </w:rPr>
        <w:t xml:space="preserve"> attendance </w:t>
      </w:r>
      <w:r w:rsidR="000840B0" w:rsidRPr="006E5A9C">
        <w:rPr>
          <w:rFonts w:asciiTheme="minorHAnsi" w:hAnsiTheme="minorHAnsi"/>
          <w:sz w:val="22"/>
          <w:szCs w:val="22"/>
        </w:rPr>
        <w:t xml:space="preserve">of </w:t>
      </w:r>
      <w:r w:rsidR="008E6C0F" w:rsidRPr="006E5A9C">
        <w:rPr>
          <w:rFonts w:asciiTheme="minorHAnsi" w:hAnsiTheme="minorHAnsi"/>
          <w:sz w:val="22"/>
          <w:szCs w:val="22"/>
        </w:rPr>
        <w:t>ADH</w:t>
      </w:r>
      <w:r w:rsidR="000840B0" w:rsidRPr="006E5A9C">
        <w:rPr>
          <w:rFonts w:asciiTheme="minorHAnsi" w:hAnsiTheme="minorHAnsi"/>
          <w:sz w:val="22"/>
          <w:szCs w:val="22"/>
        </w:rPr>
        <w:t xml:space="preserve"> trained personnel </w:t>
      </w:r>
      <w:r w:rsidRPr="006E5A9C">
        <w:rPr>
          <w:rFonts w:asciiTheme="minorHAnsi" w:hAnsiTheme="minorHAnsi"/>
          <w:sz w:val="22"/>
          <w:szCs w:val="22"/>
        </w:rPr>
        <w:t>during inspection of the homes must be submitted to the Arkansas Economic Development</w:t>
      </w:r>
      <w:r w:rsidR="00893365" w:rsidRPr="006E5A9C">
        <w:rPr>
          <w:rFonts w:asciiTheme="minorHAnsi" w:hAnsiTheme="minorHAnsi"/>
          <w:sz w:val="22"/>
          <w:szCs w:val="22"/>
        </w:rPr>
        <w:t xml:space="preserve"> Commission</w:t>
      </w:r>
      <w:r w:rsidRPr="006E5A9C">
        <w:rPr>
          <w:rFonts w:asciiTheme="minorHAnsi" w:hAnsiTheme="minorHAnsi"/>
          <w:sz w:val="22"/>
          <w:szCs w:val="22"/>
        </w:rPr>
        <w:t>.</w:t>
      </w:r>
    </w:p>
    <w:p w14:paraId="7026E200" w14:textId="77777777" w:rsidR="00C94D4B" w:rsidRDefault="00C94D4B" w:rsidP="00C94D4B">
      <w:pPr>
        <w:tabs>
          <w:tab w:val="left" w:pos="63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s>
        <w:suppressAutoHyphens/>
        <w:ind w:right="144"/>
        <w:rPr>
          <w:rFonts w:asciiTheme="minorHAnsi" w:hAnsiTheme="minorHAnsi"/>
          <w:sz w:val="22"/>
          <w:szCs w:val="22"/>
        </w:rPr>
      </w:pPr>
    </w:p>
    <w:p w14:paraId="1EB914F6" w14:textId="77777777" w:rsidR="00C94D4B" w:rsidRDefault="00C94D4B" w:rsidP="00C94D4B">
      <w:pPr>
        <w:tabs>
          <w:tab w:val="left" w:pos="63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s>
        <w:suppressAutoHyphens/>
        <w:ind w:right="144"/>
        <w:rPr>
          <w:rFonts w:asciiTheme="minorHAnsi" w:hAnsiTheme="minorHAnsi"/>
          <w:sz w:val="22"/>
          <w:szCs w:val="22"/>
        </w:rPr>
      </w:pPr>
    </w:p>
    <w:p w14:paraId="3D65D7B1" w14:textId="77777777" w:rsidR="00C94D4B" w:rsidRDefault="00C94D4B" w:rsidP="00C94D4B">
      <w:pPr>
        <w:tabs>
          <w:tab w:val="left" w:pos="63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s>
        <w:suppressAutoHyphens/>
        <w:ind w:right="144"/>
        <w:rPr>
          <w:rFonts w:asciiTheme="minorHAnsi" w:hAnsiTheme="minorHAnsi"/>
          <w:sz w:val="22"/>
          <w:szCs w:val="22"/>
        </w:rPr>
      </w:pPr>
    </w:p>
    <w:p w14:paraId="07106F3B" w14:textId="77777777" w:rsidR="00C94D4B" w:rsidRDefault="00C94D4B" w:rsidP="00C94D4B">
      <w:pPr>
        <w:tabs>
          <w:tab w:val="left" w:pos="63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s>
        <w:suppressAutoHyphens/>
        <w:ind w:right="144"/>
        <w:rPr>
          <w:rFonts w:asciiTheme="minorHAnsi" w:hAnsiTheme="minorHAnsi"/>
          <w:sz w:val="22"/>
          <w:szCs w:val="22"/>
        </w:rPr>
      </w:pPr>
    </w:p>
    <w:p w14:paraId="1C87DA51" w14:textId="77777777" w:rsidR="00C94D4B" w:rsidRDefault="00C94D4B" w:rsidP="00C94D4B">
      <w:pPr>
        <w:tabs>
          <w:tab w:val="left" w:pos="63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s>
        <w:suppressAutoHyphens/>
        <w:ind w:right="144"/>
        <w:rPr>
          <w:rFonts w:asciiTheme="minorHAnsi" w:hAnsiTheme="minorHAnsi"/>
          <w:sz w:val="22"/>
          <w:szCs w:val="22"/>
        </w:rPr>
      </w:pPr>
    </w:p>
    <w:p w14:paraId="22CF0B87" w14:textId="77777777" w:rsidR="00C94D4B" w:rsidRDefault="00C94D4B" w:rsidP="00C94D4B">
      <w:pPr>
        <w:tabs>
          <w:tab w:val="left" w:pos="63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s>
        <w:suppressAutoHyphens/>
        <w:ind w:right="144"/>
        <w:rPr>
          <w:rFonts w:asciiTheme="minorHAnsi" w:hAnsiTheme="minorHAnsi"/>
          <w:sz w:val="22"/>
          <w:szCs w:val="22"/>
        </w:rPr>
      </w:pPr>
    </w:p>
    <w:p w14:paraId="7BF9F30F" w14:textId="77777777" w:rsidR="00C94D4B" w:rsidRDefault="00C94D4B" w:rsidP="00C94D4B">
      <w:pPr>
        <w:tabs>
          <w:tab w:val="left" w:pos="63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s>
        <w:suppressAutoHyphens/>
        <w:ind w:right="144"/>
        <w:rPr>
          <w:rFonts w:asciiTheme="minorHAnsi" w:hAnsiTheme="minorHAnsi"/>
          <w:sz w:val="22"/>
          <w:szCs w:val="22"/>
        </w:rPr>
      </w:pPr>
    </w:p>
    <w:p w14:paraId="3EEE8F6B" w14:textId="77777777" w:rsidR="00C94D4B" w:rsidRDefault="00C94D4B" w:rsidP="00C94D4B">
      <w:pPr>
        <w:tabs>
          <w:tab w:val="left" w:pos="63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s>
        <w:suppressAutoHyphens/>
        <w:ind w:right="144"/>
        <w:rPr>
          <w:rFonts w:asciiTheme="minorHAnsi" w:hAnsiTheme="minorHAnsi"/>
          <w:sz w:val="22"/>
          <w:szCs w:val="22"/>
        </w:rPr>
      </w:pPr>
    </w:p>
    <w:p w14:paraId="6100D735" w14:textId="77777777" w:rsidR="00C94D4B" w:rsidRDefault="00C94D4B" w:rsidP="00C94D4B">
      <w:pPr>
        <w:tabs>
          <w:tab w:val="left" w:pos="63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s>
        <w:suppressAutoHyphens/>
        <w:ind w:right="144"/>
        <w:rPr>
          <w:rFonts w:asciiTheme="minorHAnsi" w:hAnsiTheme="minorHAnsi"/>
          <w:sz w:val="22"/>
          <w:szCs w:val="22"/>
        </w:rPr>
      </w:pPr>
    </w:p>
    <w:p w14:paraId="784CF633" w14:textId="77777777" w:rsidR="00C94D4B" w:rsidRDefault="00C94D4B" w:rsidP="00C94D4B">
      <w:pPr>
        <w:tabs>
          <w:tab w:val="left" w:pos="63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s>
        <w:suppressAutoHyphens/>
        <w:ind w:right="144"/>
        <w:rPr>
          <w:rFonts w:asciiTheme="minorHAnsi" w:hAnsiTheme="minorHAnsi"/>
          <w:sz w:val="22"/>
          <w:szCs w:val="22"/>
        </w:rPr>
      </w:pPr>
    </w:p>
    <w:p w14:paraId="3B8DFC96" w14:textId="77777777" w:rsidR="00C94D4B" w:rsidRDefault="00C94D4B" w:rsidP="00C94D4B">
      <w:pPr>
        <w:tabs>
          <w:tab w:val="left" w:pos="63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s>
        <w:suppressAutoHyphens/>
        <w:ind w:right="144"/>
        <w:rPr>
          <w:rFonts w:asciiTheme="minorHAnsi" w:hAnsiTheme="minorHAnsi"/>
          <w:sz w:val="22"/>
          <w:szCs w:val="22"/>
        </w:rPr>
      </w:pPr>
    </w:p>
    <w:p w14:paraId="511FDC49" w14:textId="77777777" w:rsidR="00C94D4B" w:rsidRDefault="00C94D4B" w:rsidP="00C94D4B">
      <w:pPr>
        <w:tabs>
          <w:tab w:val="left" w:pos="63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s>
        <w:suppressAutoHyphens/>
        <w:ind w:right="144"/>
        <w:rPr>
          <w:rFonts w:asciiTheme="minorHAnsi" w:hAnsiTheme="minorHAnsi"/>
          <w:sz w:val="22"/>
          <w:szCs w:val="22"/>
        </w:rPr>
      </w:pPr>
    </w:p>
    <w:p w14:paraId="4E52B589" w14:textId="77777777" w:rsidR="00C94D4B" w:rsidRDefault="00C94D4B" w:rsidP="00C94D4B">
      <w:pPr>
        <w:tabs>
          <w:tab w:val="left" w:pos="63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s>
        <w:suppressAutoHyphens/>
        <w:ind w:right="144"/>
        <w:rPr>
          <w:rFonts w:asciiTheme="minorHAnsi" w:hAnsiTheme="minorHAnsi"/>
          <w:sz w:val="22"/>
          <w:szCs w:val="22"/>
        </w:rPr>
      </w:pPr>
    </w:p>
    <w:p w14:paraId="560B1A84" w14:textId="77777777" w:rsidR="00C94D4B" w:rsidRDefault="00C94D4B" w:rsidP="00C94D4B">
      <w:pPr>
        <w:tabs>
          <w:tab w:val="left" w:pos="63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s>
        <w:suppressAutoHyphens/>
        <w:ind w:right="144"/>
        <w:rPr>
          <w:rFonts w:asciiTheme="minorHAnsi" w:hAnsiTheme="minorHAnsi"/>
          <w:sz w:val="22"/>
          <w:szCs w:val="22"/>
        </w:rPr>
      </w:pPr>
    </w:p>
    <w:p w14:paraId="03051A51" w14:textId="77777777" w:rsidR="00C94D4B" w:rsidRDefault="00C94D4B" w:rsidP="00C94D4B">
      <w:pPr>
        <w:tabs>
          <w:tab w:val="left" w:pos="63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s>
        <w:suppressAutoHyphens/>
        <w:ind w:right="144"/>
        <w:rPr>
          <w:rFonts w:asciiTheme="minorHAnsi" w:hAnsiTheme="minorHAnsi"/>
          <w:sz w:val="22"/>
          <w:szCs w:val="22"/>
        </w:rPr>
      </w:pPr>
    </w:p>
    <w:p w14:paraId="75CF392A" w14:textId="77777777" w:rsidR="00C94D4B" w:rsidRDefault="00C94D4B" w:rsidP="00C94D4B">
      <w:pPr>
        <w:tabs>
          <w:tab w:val="left" w:pos="63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s>
        <w:suppressAutoHyphens/>
        <w:ind w:right="144"/>
        <w:rPr>
          <w:rFonts w:asciiTheme="minorHAnsi" w:hAnsiTheme="minorHAnsi"/>
          <w:sz w:val="22"/>
          <w:szCs w:val="22"/>
        </w:rPr>
      </w:pPr>
    </w:p>
    <w:p w14:paraId="29D0F2C1" w14:textId="77777777" w:rsidR="00C94D4B" w:rsidRDefault="00C94D4B" w:rsidP="00C94D4B">
      <w:pPr>
        <w:tabs>
          <w:tab w:val="left" w:pos="63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s>
        <w:suppressAutoHyphens/>
        <w:ind w:right="144"/>
        <w:rPr>
          <w:rFonts w:asciiTheme="minorHAnsi" w:hAnsiTheme="minorHAnsi"/>
          <w:sz w:val="22"/>
          <w:szCs w:val="22"/>
        </w:rPr>
      </w:pPr>
    </w:p>
    <w:p w14:paraId="4FFD8F48" w14:textId="77777777" w:rsidR="00C94D4B" w:rsidRDefault="00C94D4B" w:rsidP="00C94D4B">
      <w:pPr>
        <w:tabs>
          <w:tab w:val="left" w:pos="63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s>
        <w:suppressAutoHyphens/>
        <w:ind w:right="144"/>
        <w:rPr>
          <w:rFonts w:asciiTheme="minorHAnsi" w:hAnsiTheme="minorHAnsi"/>
          <w:sz w:val="22"/>
          <w:szCs w:val="22"/>
        </w:rPr>
      </w:pPr>
    </w:p>
    <w:p w14:paraId="4D6EADB3" w14:textId="77777777" w:rsidR="00C94D4B" w:rsidRDefault="00C94D4B" w:rsidP="00C94D4B">
      <w:pPr>
        <w:tabs>
          <w:tab w:val="left" w:pos="63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s>
        <w:suppressAutoHyphens/>
        <w:ind w:right="144"/>
        <w:rPr>
          <w:rFonts w:asciiTheme="minorHAnsi" w:hAnsiTheme="minorHAnsi"/>
          <w:sz w:val="22"/>
          <w:szCs w:val="22"/>
        </w:rPr>
      </w:pPr>
    </w:p>
    <w:p w14:paraId="2A0A7F20" w14:textId="77777777" w:rsidR="00C94D4B" w:rsidRDefault="00C94D4B" w:rsidP="00C94D4B">
      <w:pPr>
        <w:tabs>
          <w:tab w:val="left" w:pos="63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s>
        <w:suppressAutoHyphens/>
        <w:ind w:right="144"/>
        <w:rPr>
          <w:rFonts w:asciiTheme="minorHAnsi" w:hAnsiTheme="minorHAnsi"/>
          <w:sz w:val="22"/>
          <w:szCs w:val="22"/>
        </w:rPr>
      </w:pPr>
    </w:p>
    <w:p w14:paraId="6FBBB2F5" w14:textId="77777777" w:rsidR="00C94D4B" w:rsidRDefault="00C94D4B" w:rsidP="00C94D4B">
      <w:pPr>
        <w:tabs>
          <w:tab w:val="left" w:pos="63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s>
        <w:suppressAutoHyphens/>
        <w:ind w:right="144"/>
        <w:rPr>
          <w:rFonts w:asciiTheme="minorHAnsi" w:hAnsiTheme="minorHAnsi"/>
          <w:sz w:val="22"/>
          <w:szCs w:val="22"/>
        </w:rPr>
      </w:pPr>
    </w:p>
    <w:p w14:paraId="0ECD5406" w14:textId="77777777" w:rsidR="00C94D4B" w:rsidRDefault="00C94D4B" w:rsidP="00C94D4B">
      <w:pPr>
        <w:tabs>
          <w:tab w:val="left" w:pos="63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s>
        <w:suppressAutoHyphens/>
        <w:ind w:right="144"/>
        <w:rPr>
          <w:rFonts w:asciiTheme="minorHAnsi" w:hAnsiTheme="minorHAnsi"/>
          <w:sz w:val="22"/>
          <w:szCs w:val="22"/>
        </w:rPr>
      </w:pPr>
    </w:p>
    <w:p w14:paraId="761D16C2" w14:textId="77777777" w:rsidR="00C94D4B" w:rsidRDefault="00C94D4B" w:rsidP="00C94D4B">
      <w:pPr>
        <w:tabs>
          <w:tab w:val="left" w:pos="63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s>
        <w:suppressAutoHyphens/>
        <w:ind w:right="144"/>
        <w:rPr>
          <w:rFonts w:asciiTheme="minorHAnsi" w:hAnsiTheme="minorHAnsi"/>
          <w:sz w:val="22"/>
          <w:szCs w:val="22"/>
        </w:rPr>
      </w:pPr>
    </w:p>
    <w:p w14:paraId="54FF139A" w14:textId="77777777" w:rsidR="00C94D4B" w:rsidRDefault="00C94D4B" w:rsidP="00C94D4B">
      <w:pPr>
        <w:tabs>
          <w:tab w:val="left" w:pos="63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s>
        <w:suppressAutoHyphens/>
        <w:ind w:right="144"/>
        <w:rPr>
          <w:rFonts w:asciiTheme="minorHAnsi" w:hAnsiTheme="minorHAnsi"/>
          <w:sz w:val="22"/>
          <w:szCs w:val="22"/>
        </w:rPr>
      </w:pPr>
    </w:p>
    <w:p w14:paraId="589FCFFD" w14:textId="77777777" w:rsidR="00C94D4B" w:rsidRDefault="00C94D4B" w:rsidP="00C94D4B">
      <w:pPr>
        <w:tabs>
          <w:tab w:val="left" w:pos="63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s>
        <w:suppressAutoHyphens/>
        <w:ind w:right="144"/>
        <w:rPr>
          <w:rFonts w:asciiTheme="minorHAnsi" w:hAnsiTheme="minorHAnsi"/>
          <w:sz w:val="22"/>
          <w:szCs w:val="22"/>
        </w:rPr>
      </w:pPr>
    </w:p>
    <w:p w14:paraId="05FAFCF9" w14:textId="77777777" w:rsidR="00C94D4B" w:rsidRDefault="00C94D4B" w:rsidP="00C94D4B">
      <w:pPr>
        <w:tabs>
          <w:tab w:val="left" w:pos="63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s>
        <w:suppressAutoHyphens/>
        <w:ind w:right="144"/>
        <w:rPr>
          <w:rFonts w:asciiTheme="minorHAnsi" w:hAnsiTheme="minorHAnsi"/>
          <w:sz w:val="22"/>
          <w:szCs w:val="22"/>
        </w:rPr>
      </w:pPr>
    </w:p>
    <w:p w14:paraId="08C78AB1" w14:textId="77777777" w:rsidR="00C94D4B" w:rsidRDefault="00C94D4B" w:rsidP="00C94D4B">
      <w:pPr>
        <w:tabs>
          <w:tab w:val="left" w:pos="63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s>
        <w:suppressAutoHyphens/>
        <w:ind w:right="144"/>
        <w:rPr>
          <w:rFonts w:asciiTheme="minorHAnsi" w:hAnsiTheme="minorHAnsi"/>
          <w:sz w:val="22"/>
          <w:szCs w:val="22"/>
        </w:rPr>
      </w:pPr>
    </w:p>
    <w:p w14:paraId="6A205E8C" w14:textId="77777777" w:rsidR="00C94D4B" w:rsidRDefault="00C94D4B" w:rsidP="00C94D4B">
      <w:pPr>
        <w:tabs>
          <w:tab w:val="left" w:pos="63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s>
        <w:suppressAutoHyphens/>
        <w:ind w:right="144"/>
        <w:rPr>
          <w:rFonts w:asciiTheme="minorHAnsi" w:hAnsiTheme="minorHAnsi"/>
          <w:sz w:val="22"/>
          <w:szCs w:val="22"/>
        </w:rPr>
      </w:pPr>
    </w:p>
    <w:p w14:paraId="76D80E2D" w14:textId="77777777" w:rsidR="00C94D4B" w:rsidRPr="009A298C" w:rsidRDefault="00C94D4B" w:rsidP="00C94D4B">
      <w:pPr>
        <w:tabs>
          <w:tab w:val="left" w:pos="63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s>
        <w:suppressAutoHyphens/>
        <w:ind w:right="144"/>
        <w:rPr>
          <w:rFonts w:asciiTheme="minorHAnsi" w:hAnsiTheme="minorHAnsi"/>
          <w:sz w:val="22"/>
          <w:szCs w:val="22"/>
        </w:rPr>
      </w:pPr>
    </w:p>
    <w:sectPr w:rsidR="00C94D4B" w:rsidRPr="009A298C" w:rsidSect="00D33FB0">
      <w:headerReference w:type="default" r:id="rId12"/>
      <w:footerReference w:type="default" r:id="rId13"/>
      <w:endnotePr>
        <w:numFmt w:val="decimal"/>
      </w:endnotePr>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330CA" w14:textId="77777777" w:rsidR="0050538C" w:rsidRDefault="0050538C">
      <w:pPr>
        <w:spacing w:line="20" w:lineRule="exact"/>
      </w:pPr>
    </w:p>
  </w:endnote>
  <w:endnote w:type="continuationSeparator" w:id="0">
    <w:p w14:paraId="24C330CB" w14:textId="77777777" w:rsidR="0050538C" w:rsidRDefault="0050538C">
      <w:r>
        <w:t xml:space="preserve"> </w:t>
      </w:r>
    </w:p>
  </w:endnote>
  <w:endnote w:type="continuationNotice" w:id="1">
    <w:p w14:paraId="24C330CC" w14:textId="77777777" w:rsidR="0050538C" w:rsidRDefault="0050538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330CE" w14:textId="13A7D384" w:rsidR="008C5101" w:rsidRPr="000A0838" w:rsidRDefault="008C5101">
    <w:pPr>
      <w:pStyle w:val="Footer"/>
      <w:jc w:val="center"/>
      <w:rPr>
        <w:rStyle w:val="PageNumber"/>
        <w:rFonts w:asciiTheme="minorHAnsi" w:hAnsiTheme="minorHAnsi"/>
        <w:sz w:val="20"/>
      </w:rPr>
    </w:pPr>
    <w:r w:rsidRPr="000A0838">
      <w:rPr>
        <w:rFonts w:asciiTheme="minorHAnsi" w:hAnsiTheme="minorHAnsi"/>
        <w:sz w:val="20"/>
      </w:rPr>
      <w:t>Low</w:t>
    </w:r>
    <w:r w:rsidR="00DC4313">
      <w:rPr>
        <w:rFonts w:asciiTheme="minorHAnsi" w:hAnsiTheme="minorHAnsi"/>
        <w:sz w:val="20"/>
      </w:rPr>
      <w:t>-</w:t>
    </w:r>
    <w:r w:rsidRPr="000A0838">
      <w:rPr>
        <w:rFonts w:asciiTheme="minorHAnsi" w:hAnsiTheme="minorHAnsi"/>
        <w:sz w:val="20"/>
      </w:rPr>
      <w:t xml:space="preserve"> and Moderate</w:t>
    </w:r>
    <w:r w:rsidR="00DC4313">
      <w:rPr>
        <w:rFonts w:asciiTheme="minorHAnsi" w:hAnsiTheme="minorHAnsi"/>
        <w:sz w:val="20"/>
      </w:rPr>
      <w:t>-</w:t>
    </w:r>
    <w:r w:rsidRPr="000A0838">
      <w:rPr>
        <w:rFonts w:asciiTheme="minorHAnsi" w:hAnsiTheme="minorHAnsi"/>
        <w:sz w:val="20"/>
      </w:rPr>
      <w:t>Income Hookup</w:t>
    </w:r>
    <w:r w:rsidR="00F91616" w:rsidRPr="000A0838">
      <w:rPr>
        <w:rFonts w:asciiTheme="minorHAnsi" w:hAnsiTheme="minorHAnsi"/>
        <w:sz w:val="20"/>
      </w:rPr>
      <w:t>s – P</w:t>
    </w:r>
    <w:r w:rsidR="00A00307" w:rsidRPr="000A0838">
      <w:rPr>
        <w:rFonts w:asciiTheme="minorHAnsi" w:hAnsiTheme="minorHAnsi"/>
        <w:sz w:val="20"/>
      </w:rPr>
      <w:t xml:space="preserve">age </w:t>
    </w:r>
    <w:r w:rsidRPr="000A0838">
      <w:rPr>
        <w:rStyle w:val="PageNumber"/>
        <w:rFonts w:asciiTheme="minorHAnsi" w:hAnsiTheme="minorHAnsi"/>
        <w:sz w:val="20"/>
      </w:rPr>
      <w:fldChar w:fldCharType="begin"/>
    </w:r>
    <w:r w:rsidRPr="000A0838">
      <w:rPr>
        <w:rStyle w:val="PageNumber"/>
        <w:rFonts w:asciiTheme="minorHAnsi" w:hAnsiTheme="minorHAnsi"/>
        <w:sz w:val="20"/>
      </w:rPr>
      <w:instrText xml:space="preserve"> PAGE </w:instrText>
    </w:r>
    <w:r w:rsidRPr="000A0838">
      <w:rPr>
        <w:rStyle w:val="PageNumber"/>
        <w:rFonts w:asciiTheme="minorHAnsi" w:hAnsiTheme="minorHAnsi"/>
        <w:sz w:val="20"/>
      </w:rPr>
      <w:fldChar w:fldCharType="separate"/>
    </w:r>
    <w:r w:rsidR="0075384C">
      <w:rPr>
        <w:rStyle w:val="PageNumber"/>
        <w:rFonts w:asciiTheme="minorHAnsi" w:hAnsiTheme="minorHAnsi"/>
        <w:noProof/>
        <w:sz w:val="20"/>
      </w:rPr>
      <w:t>1</w:t>
    </w:r>
    <w:r w:rsidRPr="000A0838">
      <w:rPr>
        <w:rStyle w:val="PageNumber"/>
        <w:rFonts w:asciiTheme="minorHAnsi" w:hAnsiTheme="minorHAnsi"/>
        <w:sz w:val="20"/>
      </w:rPr>
      <w:fldChar w:fldCharType="end"/>
    </w:r>
  </w:p>
  <w:p w14:paraId="24C330CF" w14:textId="57929ECD" w:rsidR="008C5101" w:rsidRPr="000A0838" w:rsidRDefault="0075384C">
    <w:pPr>
      <w:pStyle w:val="Footer"/>
      <w:jc w:val="center"/>
      <w:rPr>
        <w:rFonts w:asciiTheme="minorHAnsi" w:hAnsiTheme="minorHAnsi"/>
        <w:sz w:val="20"/>
      </w:rPr>
    </w:pPr>
    <w:r>
      <w:rPr>
        <w:rStyle w:val="PageNumber"/>
        <w:rFonts w:asciiTheme="minorHAnsi" w:hAnsiTheme="minorHAnsi"/>
        <w:sz w:val="20"/>
      </w:rPr>
      <w:t>Program Year 2019,</w:t>
    </w:r>
    <w:r w:rsidR="00FA5FFC">
      <w:rPr>
        <w:rStyle w:val="PageNumber"/>
        <w:rFonts w:asciiTheme="minorHAnsi" w:hAnsiTheme="minorHAnsi"/>
        <w:sz w:val="20"/>
      </w:rPr>
      <w:t xml:space="preserve"> Version 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330C8" w14:textId="77777777" w:rsidR="0050538C" w:rsidRDefault="0050538C">
      <w:r>
        <w:separator/>
      </w:r>
    </w:p>
  </w:footnote>
  <w:footnote w:type="continuationSeparator" w:id="0">
    <w:p w14:paraId="24C330C9" w14:textId="77777777" w:rsidR="0050538C" w:rsidRDefault="005053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330CD" w14:textId="77777777" w:rsidR="008C5101" w:rsidRDefault="008C5101">
    <w:pPr>
      <w:pStyle w:val="Header"/>
      <w:ind w:right="-576"/>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4E1407"/>
    <w:multiLevelType w:val="multilevel"/>
    <w:tmpl w:val="F66E5D20"/>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8F6784B"/>
    <w:multiLevelType w:val="singleLevel"/>
    <w:tmpl w:val="724C37A2"/>
    <w:lvl w:ilvl="0">
      <w:start w:val="6"/>
      <w:numFmt w:val="upperLetter"/>
      <w:lvlText w:val="%1."/>
      <w:lvlJc w:val="left"/>
      <w:pPr>
        <w:tabs>
          <w:tab w:val="num" w:pos="1080"/>
        </w:tabs>
        <w:ind w:left="1080" w:hanging="360"/>
      </w:pPr>
      <w:rPr>
        <w:rFonts w:hint="default"/>
      </w:rPr>
    </w:lvl>
  </w:abstractNum>
  <w:abstractNum w:abstractNumId="3" w15:restartNumberingAfterBreak="0">
    <w:nsid w:val="09FA7701"/>
    <w:multiLevelType w:val="singleLevel"/>
    <w:tmpl w:val="DB8C3BD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562930"/>
    <w:multiLevelType w:val="multilevel"/>
    <w:tmpl w:val="9624658C"/>
    <w:lvl w:ilvl="0">
      <w:start w:val="1"/>
      <w:numFmt w:val="decimal"/>
      <w:lvlText w:val="%1"/>
      <w:lvlJc w:val="left"/>
      <w:pPr>
        <w:tabs>
          <w:tab w:val="num" w:pos="660"/>
        </w:tabs>
        <w:ind w:left="660" w:hanging="660"/>
      </w:pPr>
      <w:rPr>
        <w:rFonts w:hint="default"/>
      </w:rPr>
    </w:lvl>
    <w:lvl w:ilvl="1">
      <w:start w:val="3"/>
      <w:numFmt w:val="decimal"/>
      <w:lvlText w:val="%1.%2"/>
      <w:lvlJc w:val="left"/>
      <w:pPr>
        <w:tabs>
          <w:tab w:val="num" w:pos="1020"/>
        </w:tabs>
        <w:ind w:left="1020" w:hanging="660"/>
      </w:pPr>
      <w:rPr>
        <w:rFonts w:hint="default"/>
      </w:rPr>
    </w:lvl>
    <w:lvl w:ilvl="2">
      <w:start w:val="9"/>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FED3ABB"/>
    <w:multiLevelType w:val="multilevel"/>
    <w:tmpl w:val="B0CC39CC"/>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18070334"/>
    <w:multiLevelType w:val="singleLevel"/>
    <w:tmpl w:val="0409000F"/>
    <w:lvl w:ilvl="0">
      <w:start w:val="1"/>
      <w:numFmt w:val="decimal"/>
      <w:lvlText w:val="%1."/>
      <w:legacy w:legacy="1" w:legacySpace="0" w:legacyIndent="360"/>
      <w:lvlJc w:val="left"/>
      <w:pPr>
        <w:ind w:left="360" w:hanging="360"/>
      </w:pPr>
    </w:lvl>
  </w:abstractNum>
  <w:abstractNum w:abstractNumId="7" w15:restartNumberingAfterBreak="0">
    <w:nsid w:val="1AA273B6"/>
    <w:multiLevelType w:val="multilevel"/>
    <w:tmpl w:val="962C868A"/>
    <w:lvl w:ilvl="0">
      <w:start w:val="8"/>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8" w15:restartNumberingAfterBreak="0">
    <w:nsid w:val="29CC39AF"/>
    <w:multiLevelType w:val="multilevel"/>
    <w:tmpl w:val="55E8013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810"/>
        </w:tabs>
        <w:ind w:left="810" w:hanging="360"/>
      </w:pPr>
      <w:rPr>
        <w:rFonts w:hint="default"/>
      </w:rPr>
    </w:lvl>
    <w:lvl w:ilvl="2">
      <w:start w:val="1"/>
      <w:numFmt w:val="decimal"/>
      <w:lvlText w:val="%1.%2.%3"/>
      <w:lvlJc w:val="left"/>
      <w:pPr>
        <w:tabs>
          <w:tab w:val="num" w:pos="1620"/>
        </w:tabs>
        <w:ind w:left="1620" w:hanging="720"/>
      </w:pPr>
      <w:rPr>
        <w:rFonts w:hint="default"/>
      </w:rPr>
    </w:lvl>
    <w:lvl w:ilvl="3">
      <w:start w:val="16"/>
      <w:numFmt w:val="decimal"/>
      <w:lvlText w:val="%1.%2.%3.%4"/>
      <w:lvlJc w:val="left"/>
      <w:pPr>
        <w:tabs>
          <w:tab w:val="num" w:pos="2070"/>
        </w:tabs>
        <w:ind w:left="207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330"/>
        </w:tabs>
        <w:ind w:left="3330" w:hanging="108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9" w15:restartNumberingAfterBreak="0">
    <w:nsid w:val="3D564DFB"/>
    <w:multiLevelType w:val="singleLevel"/>
    <w:tmpl w:val="744E4A74"/>
    <w:lvl w:ilvl="0">
      <w:start w:val="1"/>
      <w:numFmt w:val="upperLetter"/>
      <w:lvlText w:val="%1."/>
      <w:lvlJc w:val="left"/>
      <w:pPr>
        <w:tabs>
          <w:tab w:val="num" w:pos="1512"/>
        </w:tabs>
        <w:ind w:left="1512" w:hanging="792"/>
      </w:pPr>
      <w:rPr>
        <w:rFonts w:hint="default"/>
      </w:rPr>
    </w:lvl>
  </w:abstractNum>
  <w:abstractNum w:abstractNumId="10" w15:restartNumberingAfterBreak="0">
    <w:nsid w:val="423060CE"/>
    <w:multiLevelType w:val="singleLevel"/>
    <w:tmpl w:val="DB8C3BD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AA5667A"/>
    <w:multiLevelType w:val="singleLevel"/>
    <w:tmpl w:val="41CC7A58"/>
    <w:lvl w:ilvl="0">
      <w:start w:val="11"/>
      <w:numFmt w:val="upperLetter"/>
      <w:lvlText w:val="%1."/>
      <w:lvlJc w:val="left"/>
      <w:pPr>
        <w:tabs>
          <w:tab w:val="num" w:pos="1080"/>
        </w:tabs>
        <w:ind w:left="1080" w:hanging="360"/>
      </w:pPr>
      <w:rPr>
        <w:rFonts w:hint="default"/>
      </w:rPr>
    </w:lvl>
  </w:abstractNum>
  <w:abstractNum w:abstractNumId="12" w15:restartNumberingAfterBreak="0">
    <w:nsid w:val="4C97759B"/>
    <w:multiLevelType w:val="multilevel"/>
    <w:tmpl w:val="09CE78B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527F0C8B"/>
    <w:multiLevelType w:val="singleLevel"/>
    <w:tmpl w:val="F20AEC7C"/>
    <w:lvl w:ilvl="0">
      <w:start w:val="1"/>
      <w:numFmt w:val="decimal"/>
      <w:lvlText w:val="%1."/>
      <w:lvlJc w:val="left"/>
      <w:pPr>
        <w:tabs>
          <w:tab w:val="num" w:pos="360"/>
        </w:tabs>
        <w:ind w:left="360" w:hanging="360"/>
      </w:pPr>
    </w:lvl>
  </w:abstractNum>
  <w:abstractNum w:abstractNumId="14" w15:restartNumberingAfterBreak="0">
    <w:nsid w:val="555A16EA"/>
    <w:multiLevelType w:val="singleLevel"/>
    <w:tmpl w:val="DB8C3BDE"/>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D1548EE"/>
    <w:multiLevelType w:val="multilevel"/>
    <w:tmpl w:val="7B6A0E3A"/>
    <w:lvl w:ilvl="0">
      <w:start w:val="1"/>
      <w:numFmt w:val="decimal"/>
      <w:lvlText w:val="%1."/>
      <w:legacy w:legacy="1" w:legacySpace="0" w:legacyIndent="360"/>
      <w:lvlJc w:val="left"/>
      <w:pPr>
        <w:ind w:left="360" w:hanging="360"/>
      </w:pPr>
    </w:lvl>
    <w:lvl w:ilvl="1">
      <w:start w:val="1"/>
      <w:numFmt w:val="decimal"/>
      <w:isLgl/>
      <w:lvlText w:val="%1.%2"/>
      <w:lvlJc w:val="left"/>
      <w:pPr>
        <w:tabs>
          <w:tab w:val="num" w:pos="1080"/>
        </w:tabs>
        <w:ind w:left="1080" w:hanging="720"/>
      </w:pPr>
      <w:rPr>
        <w:rFonts w:hint="default"/>
      </w:rPr>
    </w:lvl>
    <w:lvl w:ilvl="2">
      <w:start w:val="5"/>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5EFF212B"/>
    <w:multiLevelType w:val="hybridMultilevel"/>
    <w:tmpl w:val="60C2775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FD7128B"/>
    <w:multiLevelType w:val="multilevel"/>
    <w:tmpl w:val="3678F4B6"/>
    <w:lvl w:ilvl="0">
      <w:start w:val="1"/>
      <w:numFmt w:val="decimal"/>
      <w:lvlText w:val="%1."/>
      <w:lvlJc w:val="left"/>
      <w:pPr>
        <w:tabs>
          <w:tab w:val="num" w:pos="360"/>
        </w:tabs>
        <w:ind w:left="360" w:hanging="360"/>
      </w:pPr>
    </w:lvl>
    <w:lvl w:ilvl="1">
      <w:start w:val="1"/>
      <w:numFmt w:val="decimal"/>
      <w:isLgl/>
      <w:lvlText w:val="%1.%2"/>
      <w:lvlJc w:val="left"/>
      <w:pPr>
        <w:tabs>
          <w:tab w:val="num" w:pos="1320"/>
        </w:tabs>
        <w:ind w:left="1320" w:hanging="840"/>
      </w:pPr>
      <w:rPr>
        <w:rFonts w:hint="default"/>
      </w:rPr>
    </w:lvl>
    <w:lvl w:ilvl="2">
      <w:start w:val="1"/>
      <w:numFmt w:val="decimal"/>
      <w:isLgl/>
      <w:lvlText w:val="%1.%2.%3"/>
      <w:lvlJc w:val="left"/>
      <w:pPr>
        <w:tabs>
          <w:tab w:val="num" w:pos="1800"/>
        </w:tabs>
        <w:ind w:left="1800" w:hanging="840"/>
      </w:pPr>
      <w:rPr>
        <w:rFonts w:hint="default"/>
      </w:rPr>
    </w:lvl>
    <w:lvl w:ilvl="3">
      <w:start w:val="1"/>
      <w:numFmt w:val="decimal"/>
      <w:isLgl/>
      <w:lvlText w:val="%1.%2.%3.%4"/>
      <w:lvlJc w:val="left"/>
      <w:pPr>
        <w:tabs>
          <w:tab w:val="num" w:pos="2280"/>
        </w:tabs>
        <w:ind w:left="2280" w:hanging="840"/>
      </w:pPr>
      <w:rPr>
        <w:rFonts w:hint="default"/>
      </w:rPr>
    </w:lvl>
    <w:lvl w:ilvl="4">
      <w:start w:val="1"/>
      <w:numFmt w:val="decimal"/>
      <w:isLgl/>
      <w:lvlText w:val="%1.%2.%3.%4.%5"/>
      <w:lvlJc w:val="left"/>
      <w:pPr>
        <w:tabs>
          <w:tab w:val="num" w:pos="3000"/>
        </w:tabs>
        <w:ind w:left="300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800"/>
        </w:tabs>
        <w:ind w:left="4800" w:hanging="1440"/>
      </w:pPr>
      <w:rPr>
        <w:rFonts w:hint="default"/>
      </w:rPr>
    </w:lvl>
    <w:lvl w:ilvl="8">
      <w:start w:val="1"/>
      <w:numFmt w:val="decimal"/>
      <w:isLgl/>
      <w:lvlText w:val="%1.%2.%3.%4.%5.%6.%7.%8.%9"/>
      <w:lvlJc w:val="left"/>
      <w:pPr>
        <w:tabs>
          <w:tab w:val="num" w:pos="5640"/>
        </w:tabs>
        <w:ind w:left="5640" w:hanging="1800"/>
      </w:pPr>
      <w:rPr>
        <w:rFonts w:hint="default"/>
      </w:rPr>
    </w:lvl>
  </w:abstractNum>
  <w:abstractNum w:abstractNumId="18" w15:restartNumberingAfterBreak="0">
    <w:nsid w:val="60722FC5"/>
    <w:multiLevelType w:val="multilevel"/>
    <w:tmpl w:val="B330B3C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6A6B5430"/>
    <w:multiLevelType w:val="singleLevel"/>
    <w:tmpl w:val="DB8C3BDE"/>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0A657FE"/>
    <w:multiLevelType w:val="singleLevel"/>
    <w:tmpl w:val="F8768C02"/>
    <w:lvl w:ilvl="0">
      <w:start w:val="3"/>
      <w:numFmt w:val="upperRoman"/>
      <w:lvlText w:val="%1."/>
      <w:lvlJc w:val="left"/>
      <w:pPr>
        <w:tabs>
          <w:tab w:val="num" w:pos="720"/>
        </w:tabs>
        <w:ind w:left="720" w:hanging="720"/>
      </w:pPr>
      <w:rPr>
        <w:rFonts w:hint="default"/>
      </w:rPr>
    </w:lvl>
  </w:abstractNum>
  <w:abstractNum w:abstractNumId="21" w15:restartNumberingAfterBreak="0">
    <w:nsid w:val="722E252F"/>
    <w:multiLevelType w:val="singleLevel"/>
    <w:tmpl w:val="CB66B966"/>
    <w:lvl w:ilvl="0">
      <w:start w:val="3"/>
      <w:numFmt w:val="upperRoman"/>
      <w:pStyle w:val="Heading6"/>
      <w:lvlText w:val="%1."/>
      <w:lvlJc w:val="left"/>
      <w:pPr>
        <w:tabs>
          <w:tab w:val="num" w:pos="720"/>
        </w:tabs>
        <w:ind w:left="720" w:hanging="720"/>
      </w:pPr>
      <w:rPr>
        <w:rFonts w:hint="default"/>
      </w:rPr>
    </w:lvl>
  </w:abstractNum>
  <w:abstractNum w:abstractNumId="22" w15:restartNumberingAfterBreak="0">
    <w:nsid w:val="7646402C"/>
    <w:multiLevelType w:val="singleLevel"/>
    <w:tmpl w:val="36E4304A"/>
    <w:lvl w:ilvl="0">
      <w:start w:val="1"/>
      <w:numFmt w:val="upperLetter"/>
      <w:lvlText w:val="(%1)"/>
      <w:lvlJc w:val="left"/>
      <w:pPr>
        <w:tabs>
          <w:tab w:val="num" w:pos="720"/>
        </w:tabs>
        <w:ind w:left="720" w:hanging="720"/>
      </w:pPr>
      <w:rPr>
        <w:rFonts w:hint="default"/>
      </w:rPr>
    </w:lvl>
  </w:abstractNum>
  <w:abstractNum w:abstractNumId="23" w15:restartNumberingAfterBreak="0">
    <w:nsid w:val="79450DCB"/>
    <w:multiLevelType w:val="singleLevel"/>
    <w:tmpl w:val="F20AEC7C"/>
    <w:lvl w:ilvl="0">
      <w:start w:val="1"/>
      <w:numFmt w:val="decimal"/>
      <w:lvlText w:val="%1."/>
      <w:lvlJc w:val="left"/>
      <w:pPr>
        <w:tabs>
          <w:tab w:val="num" w:pos="360"/>
        </w:tabs>
        <w:ind w:left="360" w:hanging="360"/>
      </w:pPr>
    </w:lvl>
  </w:abstractNum>
  <w:abstractNum w:abstractNumId="24" w15:restartNumberingAfterBreak="0">
    <w:nsid w:val="7B3A3AB2"/>
    <w:multiLevelType w:val="singleLevel"/>
    <w:tmpl w:val="0409000F"/>
    <w:lvl w:ilvl="0">
      <w:start w:val="1"/>
      <w:numFmt w:val="decimal"/>
      <w:lvlText w:val="%1."/>
      <w:legacy w:legacy="1" w:legacySpace="0" w:legacyIndent="360"/>
      <w:lvlJc w:val="left"/>
      <w:pPr>
        <w:ind w:left="360" w:hanging="360"/>
      </w:p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24"/>
  </w:num>
  <w:num w:numId="3">
    <w:abstractNumId w:val="24"/>
    <w:lvlOverride w:ilvl="0">
      <w:lvl w:ilvl="0">
        <w:start w:val="1"/>
        <w:numFmt w:val="decimal"/>
        <w:lvlText w:val="%1."/>
        <w:legacy w:legacy="1" w:legacySpace="0" w:legacyIndent="360"/>
        <w:lvlJc w:val="left"/>
        <w:pPr>
          <w:ind w:left="360" w:hanging="360"/>
        </w:pPr>
      </w:lvl>
    </w:lvlOverride>
  </w:num>
  <w:num w:numId="4">
    <w:abstractNumId w:val="24"/>
    <w:lvlOverride w:ilvl="0">
      <w:lvl w:ilvl="0">
        <w:start w:val="1"/>
        <w:numFmt w:val="decimal"/>
        <w:lvlText w:val="%1."/>
        <w:legacy w:legacy="1" w:legacySpace="0" w:legacyIndent="360"/>
        <w:lvlJc w:val="left"/>
        <w:pPr>
          <w:ind w:left="360" w:hanging="360"/>
        </w:pPr>
      </w:lvl>
    </w:lvlOverride>
  </w:num>
  <w:num w:numId="5">
    <w:abstractNumId w:val="24"/>
    <w:lvlOverride w:ilvl="0">
      <w:lvl w:ilvl="0">
        <w:start w:val="1"/>
        <w:numFmt w:val="decimal"/>
        <w:lvlText w:val="%1."/>
        <w:legacy w:legacy="1" w:legacySpace="0" w:legacyIndent="360"/>
        <w:lvlJc w:val="left"/>
        <w:pPr>
          <w:ind w:left="360" w:hanging="360"/>
        </w:pPr>
      </w:lvl>
    </w:lvlOverride>
  </w:num>
  <w:num w:numId="6">
    <w:abstractNumId w:val="24"/>
    <w:lvlOverride w:ilvl="0">
      <w:lvl w:ilvl="0">
        <w:start w:val="1"/>
        <w:numFmt w:val="decimal"/>
        <w:lvlText w:val="%1."/>
        <w:legacy w:legacy="1" w:legacySpace="0" w:legacyIndent="360"/>
        <w:lvlJc w:val="left"/>
        <w:pPr>
          <w:ind w:left="360" w:hanging="360"/>
        </w:pPr>
      </w:lvl>
    </w:lvlOverride>
  </w:num>
  <w:num w:numId="7">
    <w:abstractNumId w:val="24"/>
    <w:lvlOverride w:ilvl="0">
      <w:lvl w:ilvl="0">
        <w:start w:val="1"/>
        <w:numFmt w:val="decimal"/>
        <w:lvlText w:val="%1."/>
        <w:legacy w:legacy="1" w:legacySpace="0" w:legacyIndent="360"/>
        <w:lvlJc w:val="left"/>
        <w:pPr>
          <w:ind w:left="360" w:hanging="360"/>
        </w:pPr>
      </w:lvl>
    </w:lvlOverride>
  </w:num>
  <w:num w:numId="8">
    <w:abstractNumId w:val="6"/>
  </w:num>
  <w:num w:numId="9">
    <w:abstractNumId w:val="6"/>
    <w:lvlOverride w:ilvl="0">
      <w:lvl w:ilvl="0">
        <w:start w:val="1"/>
        <w:numFmt w:val="decimal"/>
        <w:lvlText w:val="%1."/>
        <w:legacy w:legacy="1" w:legacySpace="0" w:legacyIndent="360"/>
        <w:lvlJc w:val="left"/>
        <w:pPr>
          <w:ind w:left="360" w:hanging="360"/>
        </w:pPr>
      </w:lvl>
    </w:lvlOverride>
  </w:num>
  <w:num w:numId="10">
    <w:abstractNumId w:val="6"/>
    <w:lvlOverride w:ilvl="0">
      <w:lvl w:ilvl="0">
        <w:start w:val="1"/>
        <w:numFmt w:val="decimal"/>
        <w:lvlText w:val="%1."/>
        <w:legacy w:legacy="1" w:legacySpace="0" w:legacyIndent="360"/>
        <w:lvlJc w:val="left"/>
        <w:pPr>
          <w:ind w:left="360" w:hanging="360"/>
        </w:pPr>
      </w:lvl>
    </w:lvlOverride>
  </w:num>
  <w:num w:numId="11">
    <w:abstractNumId w:val="6"/>
    <w:lvlOverride w:ilvl="0">
      <w:lvl w:ilvl="0">
        <w:start w:val="1"/>
        <w:numFmt w:val="decimal"/>
        <w:lvlText w:val="%1."/>
        <w:lvlJc w:val="left"/>
        <w:pPr>
          <w:tabs>
            <w:tab w:val="num" w:pos="360"/>
          </w:tabs>
          <w:ind w:left="360" w:hanging="360"/>
        </w:pPr>
      </w:lvl>
    </w:lvlOverride>
  </w:num>
  <w:num w:numId="12">
    <w:abstractNumId w:val="15"/>
  </w:num>
  <w:num w:numId="13">
    <w:abstractNumId w:val="2"/>
  </w:num>
  <w:num w:numId="14">
    <w:abstractNumId w:val="11"/>
  </w:num>
  <w:num w:numId="15">
    <w:abstractNumId w:val="21"/>
  </w:num>
  <w:num w:numId="16">
    <w:abstractNumId w:val="17"/>
  </w:num>
  <w:num w:numId="1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8">
    <w:abstractNumId w:val="14"/>
  </w:num>
  <w:num w:numId="19">
    <w:abstractNumId w:val="9"/>
  </w:num>
  <w:num w:numId="20">
    <w:abstractNumId w:val="19"/>
  </w:num>
  <w:num w:numId="21">
    <w:abstractNumId w:val="3"/>
  </w:num>
  <w:num w:numId="22">
    <w:abstractNumId w:val="10"/>
  </w:num>
  <w:num w:numId="2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4">
    <w:abstractNumId w:val="5"/>
  </w:num>
  <w:num w:numId="25">
    <w:abstractNumId w:val="12"/>
  </w:num>
  <w:num w:numId="26">
    <w:abstractNumId w:val="22"/>
  </w:num>
  <w:num w:numId="27">
    <w:abstractNumId w:val="1"/>
  </w:num>
  <w:num w:numId="28">
    <w:abstractNumId w:val="4"/>
  </w:num>
  <w:num w:numId="29">
    <w:abstractNumId w:val="7"/>
  </w:num>
  <w:num w:numId="30">
    <w:abstractNumId w:val="23"/>
  </w:num>
  <w:num w:numId="31">
    <w:abstractNumId w:val="13"/>
  </w:num>
  <w:num w:numId="32">
    <w:abstractNumId w:val="18"/>
  </w:num>
  <w:num w:numId="33">
    <w:abstractNumId w:val="8"/>
  </w:num>
  <w:num w:numId="34">
    <w:abstractNumId w:val="16"/>
  </w:num>
  <w:num w:numId="35">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DA0"/>
    <w:rsid w:val="0000782F"/>
    <w:rsid w:val="0002336A"/>
    <w:rsid w:val="000840B0"/>
    <w:rsid w:val="000930E5"/>
    <w:rsid w:val="000948AF"/>
    <w:rsid w:val="000A0838"/>
    <w:rsid w:val="000C0C65"/>
    <w:rsid w:val="00122470"/>
    <w:rsid w:val="00127CB9"/>
    <w:rsid w:val="00167B86"/>
    <w:rsid w:val="001C3B22"/>
    <w:rsid w:val="002151FE"/>
    <w:rsid w:val="002277A4"/>
    <w:rsid w:val="00245046"/>
    <w:rsid w:val="00257233"/>
    <w:rsid w:val="002D485A"/>
    <w:rsid w:val="00325CD2"/>
    <w:rsid w:val="00341653"/>
    <w:rsid w:val="0035248C"/>
    <w:rsid w:val="003E4F36"/>
    <w:rsid w:val="0044049E"/>
    <w:rsid w:val="004561BD"/>
    <w:rsid w:val="0048762D"/>
    <w:rsid w:val="00496C3F"/>
    <w:rsid w:val="004F516F"/>
    <w:rsid w:val="0050538C"/>
    <w:rsid w:val="0056250F"/>
    <w:rsid w:val="00562E2D"/>
    <w:rsid w:val="005A3122"/>
    <w:rsid w:val="005D4959"/>
    <w:rsid w:val="005F3C8E"/>
    <w:rsid w:val="00603E72"/>
    <w:rsid w:val="00624E68"/>
    <w:rsid w:val="00642F20"/>
    <w:rsid w:val="00654866"/>
    <w:rsid w:val="0066170F"/>
    <w:rsid w:val="00672E5E"/>
    <w:rsid w:val="006E5A9C"/>
    <w:rsid w:val="007072A4"/>
    <w:rsid w:val="00731F28"/>
    <w:rsid w:val="00746E7B"/>
    <w:rsid w:val="0075384C"/>
    <w:rsid w:val="007845B3"/>
    <w:rsid w:val="008207F1"/>
    <w:rsid w:val="0085371C"/>
    <w:rsid w:val="008646E2"/>
    <w:rsid w:val="00871DA0"/>
    <w:rsid w:val="00873A2A"/>
    <w:rsid w:val="00893365"/>
    <w:rsid w:val="008B02C1"/>
    <w:rsid w:val="008C4531"/>
    <w:rsid w:val="008C5101"/>
    <w:rsid w:val="008E6C0F"/>
    <w:rsid w:val="009330C1"/>
    <w:rsid w:val="00951412"/>
    <w:rsid w:val="00995C56"/>
    <w:rsid w:val="009A298C"/>
    <w:rsid w:val="009C467F"/>
    <w:rsid w:val="009D5E8E"/>
    <w:rsid w:val="00A00307"/>
    <w:rsid w:val="00A35135"/>
    <w:rsid w:val="00AE22E4"/>
    <w:rsid w:val="00AF638C"/>
    <w:rsid w:val="00B4461E"/>
    <w:rsid w:val="00B84C34"/>
    <w:rsid w:val="00C34057"/>
    <w:rsid w:val="00C94D4B"/>
    <w:rsid w:val="00D33FB0"/>
    <w:rsid w:val="00D426C7"/>
    <w:rsid w:val="00D766F0"/>
    <w:rsid w:val="00DC0118"/>
    <w:rsid w:val="00DC4313"/>
    <w:rsid w:val="00DE3C11"/>
    <w:rsid w:val="00EC1E48"/>
    <w:rsid w:val="00F30BE0"/>
    <w:rsid w:val="00F91616"/>
    <w:rsid w:val="00F940F0"/>
    <w:rsid w:val="00FA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strokecolor="none"/>
    </o:shapedefaults>
    <o:shapelayout v:ext="edit">
      <o:idmap v:ext="edit" data="1"/>
    </o:shapelayout>
  </w:shapeDefaults>
  <w:decimalSymbol w:val="."/>
  <w:listSeparator w:val=","/>
  <w14:docId w14:val="24C33044"/>
  <w15:docId w15:val="{7C1198C6-CE92-4707-B7BC-186B35393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Lucida Sans Typewriter" w:hAnsi="Lucida Sans Typewriter"/>
      <w:sz w:val="24"/>
    </w:rPr>
  </w:style>
  <w:style w:type="paragraph" w:styleId="Heading1">
    <w:name w:val="heading 1"/>
    <w:basedOn w:val="Normal"/>
    <w:next w:val="Normal"/>
    <w:qFormat/>
    <w:pPr>
      <w:keepNext/>
      <w:tabs>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outlineLvl w:val="0"/>
    </w:pPr>
    <w:rPr>
      <w:b/>
    </w:rPr>
  </w:style>
  <w:style w:type="paragraph" w:styleId="Heading2">
    <w:name w:val="heading 2"/>
    <w:basedOn w:val="Normal"/>
    <w:next w:val="Normal"/>
    <w:qFormat/>
    <w:pPr>
      <w:keepNext/>
      <w:jc w:val="center"/>
      <w:outlineLvl w:val="1"/>
    </w:pPr>
    <w:rPr>
      <w:b/>
      <w:i/>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utlineLvl w:val="2"/>
    </w:pPr>
    <w:rPr>
      <w:rFonts w:ascii="Times New Roman" w:hAnsi="Times New Roman"/>
      <w:b/>
    </w:rPr>
  </w:style>
  <w:style w:type="paragraph" w:styleId="Heading4">
    <w:name w:val="heading 4"/>
    <w:basedOn w:val="Normal"/>
    <w:next w:val="Normal"/>
    <w:qFormat/>
    <w:pPr>
      <w:keepNext/>
      <w:tabs>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utlineLvl w:val="3"/>
    </w:pPr>
    <w:rPr>
      <w:rFonts w:ascii="Times New Roman" w:hAnsi="Times New Roman"/>
      <w:i/>
    </w:rPr>
  </w:style>
  <w:style w:type="paragraph" w:styleId="Heading5">
    <w:name w:val="heading 5"/>
    <w:basedOn w:val="Normal"/>
    <w:next w:val="Normal"/>
    <w:qFormat/>
    <w:pPr>
      <w:keepNext/>
      <w:numPr>
        <w:ilvl w:val="12"/>
      </w:numPr>
      <w:tabs>
        <w:tab w:val="left" w:pos="720"/>
        <w:tab w:val="left" w:pos="1008"/>
        <w:tab w:val="left" w:pos="1296"/>
        <w:tab w:val="left" w:pos="1440"/>
        <w:tab w:val="left" w:pos="2016"/>
        <w:tab w:val="left" w:pos="2304"/>
        <w:tab w:val="left" w:pos="2880"/>
        <w:tab w:val="left" w:pos="3600"/>
        <w:tab w:val="left" w:pos="4320"/>
        <w:tab w:val="left" w:pos="5040"/>
        <w:tab w:val="left" w:pos="5760"/>
        <w:tab w:val="left" w:pos="6480"/>
        <w:tab w:val="left" w:pos="7200"/>
        <w:tab w:val="left" w:pos="7920"/>
      </w:tabs>
      <w:suppressAutoHyphens/>
      <w:ind w:left="1080" w:hanging="360"/>
      <w:jc w:val="center"/>
      <w:outlineLvl w:val="4"/>
    </w:pPr>
    <w:rPr>
      <w:rFonts w:ascii="Times New Roman" w:hAnsi="Times New Roman"/>
      <w:b/>
      <w:spacing w:val="-3"/>
    </w:rPr>
  </w:style>
  <w:style w:type="paragraph" w:styleId="Heading6">
    <w:name w:val="heading 6"/>
    <w:basedOn w:val="Normal"/>
    <w:next w:val="Normal"/>
    <w:qFormat/>
    <w:pPr>
      <w:keepNext/>
      <w:numPr>
        <w:numId w:val="15"/>
      </w:numPr>
      <w:tabs>
        <w:tab w:val="clear" w:pos="720"/>
        <w:tab w:val="num" w:pos="63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s>
      <w:suppressAutoHyphens/>
      <w:outlineLvl w:val="5"/>
    </w:pPr>
    <w:rPr>
      <w:rFonts w:ascii="Times New Roman" w:hAnsi="Times New Roman"/>
      <w:b/>
    </w:rPr>
  </w:style>
  <w:style w:type="paragraph" w:styleId="Heading7">
    <w:name w:val="heading 7"/>
    <w:basedOn w:val="Normal"/>
    <w:next w:val="Normal"/>
    <w:qFormat/>
    <w:pPr>
      <w:keepNext/>
      <w:tabs>
        <w:tab w:val="left" w:pos="720"/>
        <w:tab w:val="left" w:pos="1008"/>
        <w:tab w:val="left" w:pos="1152"/>
        <w:tab w:val="left" w:pos="1440"/>
        <w:tab w:val="left" w:pos="2016"/>
        <w:tab w:val="left" w:pos="2304"/>
        <w:tab w:val="left" w:pos="2880"/>
        <w:tab w:val="left" w:pos="3600"/>
        <w:tab w:val="left" w:pos="4320"/>
        <w:tab w:val="left" w:pos="5040"/>
        <w:tab w:val="left" w:pos="5760"/>
        <w:tab w:val="left" w:pos="6480"/>
        <w:tab w:val="left" w:pos="7200"/>
        <w:tab w:val="left" w:pos="7920"/>
      </w:tabs>
      <w:suppressAutoHyphens/>
      <w:jc w:val="both"/>
      <w:outlineLvl w:val="6"/>
    </w:pPr>
    <w:rPr>
      <w:rFonts w:ascii="Times New Roman" w:hAnsi="Times New Roman"/>
      <w:b/>
      <w:spacing w:val="-3"/>
    </w:rPr>
  </w:style>
  <w:style w:type="paragraph" w:styleId="Heading8">
    <w:name w:val="heading 8"/>
    <w:basedOn w:val="Normal"/>
    <w:next w:val="Normal"/>
    <w:qFormat/>
    <w:pPr>
      <w:keepNext/>
      <w:tabs>
        <w:tab w:val="left" w:pos="720"/>
        <w:tab w:val="left" w:pos="1008"/>
        <w:tab w:val="left" w:pos="1440"/>
        <w:tab w:val="left" w:pos="2016"/>
        <w:tab w:val="left" w:pos="2304"/>
        <w:tab w:val="left" w:pos="2880"/>
        <w:tab w:val="left" w:pos="3600"/>
        <w:tab w:val="left" w:pos="4320"/>
        <w:tab w:val="left" w:pos="5040"/>
        <w:tab w:val="left" w:pos="5760"/>
        <w:tab w:val="left" w:pos="6336"/>
        <w:tab w:val="left" w:pos="6480"/>
        <w:tab w:val="left" w:pos="7200"/>
        <w:tab w:val="left" w:pos="7920"/>
      </w:tabs>
      <w:suppressAutoHyphens/>
      <w:ind w:left="1440" w:hanging="720"/>
      <w:jc w:val="center"/>
      <w:outlineLvl w:val="7"/>
    </w:pPr>
    <w:rPr>
      <w:rFonts w:ascii="Times New Roman" w:hAnsi="Times New Roman"/>
      <w:b/>
      <w:spacing w:val="-3"/>
    </w:rPr>
  </w:style>
  <w:style w:type="paragraph" w:styleId="Heading9">
    <w:name w:val="heading 9"/>
    <w:basedOn w:val="Normal"/>
    <w:next w:val="Normal"/>
    <w:qFormat/>
    <w:pPr>
      <w:keepNext/>
      <w:tabs>
        <w:tab w:val="left" w:pos="720"/>
        <w:tab w:val="left" w:pos="1008"/>
        <w:tab w:val="left" w:pos="1440"/>
        <w:tab w:val="left" w:pos="2016"/>
        <w:tab w:val="left" w:pos="2304"/>
        <w:tab w:val="left" w:pos="2448"/>
        <w:tab w:val="left" w:pos="2880"/>
        <w:tab w:val="left" w:pos="3600"/>
        <w:tab w:val="left" w:pos="4320"/>
        <w:tab w:val="left" w:pos="5040"/>
        <w:tab w:val="left" w:pos="5760"/>
        <w:tab w:val="left" w:pos="6480"/>
        <w:tab w:val="left" w:pos="7200"/>
        <w:tab w:val="left" w:pos="7920"/>
      </w:tabs>
      <w:suppressAutoHyphens/>
      <w:ind w:right="54"/>
      <w:outlineLvl w:val="8"/>
    </w:pPr>
    <w:rPr>
      <w:rFonts w:ascii="Times New Roman" w:hAnsi="Times New Roman"/>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080"/>
    </w:pPr>
  </w:style>
  <w:style w:type="paragraph" w:styleId="BodyTextIndent2">
    <w:name w:val="Body Text Indent 2"/>
    <w:basedOn w:val="Normal"/>
    <w:pPr>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450"/>
    </w:pPr>
  </w:style>
  <w:style w:type="paragraph" w:styleId="BodyText">
    <w:name w:val="Body Text"/>
    <w:basedOn w:val="Normal"/>
    <w:pPr>
      <w:tabs>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right="-666"/>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pPr>
    <w:rPr>
      <w:rFonts w:ascii="Times New Roman" w:hAnsi="Times New Roman"/>
      <w:b/>
    </w:rPr>
  </w:style>
  <w:style w:type="paragraph" w:styleId="BodyText2">
    <w:name w:val="Body Text 2"/>
    <w:basedOn w:val="Normal"/>
    <w:pPr>
      <w:tabs>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rFonts w:ascii="Times New Roman" w:hAnsi="Times New Roman"/>
      <w:sz w:val="20"/>
    </w:rPr>
  </w:style>
  <w:style w:type="paragraph" w:styleId="BodyTextIndent3">
    <w:name w:val="Body Text Indent 3"/>
    <w:basedOn w:val="Normal"/>
    <w:pPr>
      <w:pBdr>
        <w:top w:val="single" w:sz="12" w:space="1" w:color="auto"/>
        <w:left w:val="single" w:sz="12" w:space="0" w:color="auto"/>
        <w:bottom w:val="single" w:sz="12" w:space="1" w:color="auto"/>
        <w:right w:val="single" w:sz="12" w:space="1" w:color="auto"/>
      </w:pBdr>
      <w:tabs>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540"/>
    </w:pPr>
    <w:rPr>
      <w:rFonts w:ascii="Times New Roman" w:hAnsi="Times New Roman"/>
      <w:sz w:val="22"/>
    </w:rPr>
  </w:style>
  <w:style w:type="paragraph" w:styleId="BodyText3">
    <w:name w:val="Body Text 3"/>
    <w:basedOn w:val="Normal"/>
    <w:pPr>
      <w:tabs>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rFonts w:ascii="Times New Roman" w:hAnsi="Times New Roman"/>
      <w:i/>
    </w:rPr>
  </w:style>
  <w:style w:type="paragraph" w:styleId="BlockText">
    <w:name w:val="Block Text"/>
    <w:basedOn w:val="Normal"/>
    <w:pPr>
      <w:tabs>
        <w:tab w:val="left" w:pos="720"/>
        <w:tab w:val="left" w:pos="1296"/>
        <w:tab w:val="left" w:pos="1872"/>
        <w:tab w:val="left" w:pos="2448"/>
        <w:tab w:val="left" w:pos="3024"/>
      </w:tabs>
      <w:spacing w:line="240" w:lineRule="exact"/>
      <w:ind w:left="1080" w:right="-144"/>
    </w:pPr>
    <w:rPr>
      <w:rFonts w:ascii="Times New Roman" w:hAnsi="Times New Roman"/>
    </w:rPr>
  </w:style>
  <w:style w:type="paragraph" w:styleId="BalloonText">
    <w:name w:val="Balloon Text"/>
    <w:basedOn w:val="Normal"/>
    <w:semiHidden/>
    <w:rsid w:val="00D33FB0"/>
    <w:rPr>
      <w:rFonts w:ascii="Tahoma" w:hAnsi="Tahoma" w:cs="Tahoma"/>
      <w:sz w:val="16"/>
      <w:szCs w:val="16"/>
    </w:rPr>
  </w:style>
  <w:style w:type="table" w:styleId="TableGrid">
    <w:name w:val="Table Grid"/>
    <w:basedOn w:val="TableNormal"/>
    <w:rsid w:val="00654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ebe6a9ad-ab6a-4025-b68f-9f1b48a658ff">S2UUS2CRPRPS-12-12539</_dlc_DocId>
    <_dlc_DocIdUrl xmlns="ebe6a9ad-ab6a-4025-b68f-9f1b48a658ff">
      <Url>http://portal/sites/Grants/GDC/_layouts/DocIdRedir.aspx?ID=S2UUS2CRPRPS-12-12539</Url>
      <Description>S2UUS2CRPRPS-12-12539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FF9857635226E43BEC1D098AD39D8A8" ma:contentTypeVersion="3" ma:contentTypeDescription="Create a new document." ma:contentTypeScope="" ma:versionID="bf7634595156acc3d09e6c64168f355a">
  <xsd:schema xmlns:xsd="http://www.w3.org/2001/XMLSchema" xmlns:xs="http://www.w3.org/2001/XMLSchema" xmlns:p="http://schemas.microsoft.com/office/2006/metadata/properties" xmlns:ns1="http://schemas.microsoft.com/sharepoint/v3" xmlns:ns2="ebe6a9ad-ab6a-4025-b68f-9f1b48a658ff" targetNamespace="http://schemas.microsoft.com/office/2006/metadata/properties" ma:root="true" ma:fieldsID="2129db579ba01b89f089a40681481113" ns1:_="" ns2:_="">
    <xsd:import namespace="http://schemas.microsoft.com/sharepoint/v3"/>
    <xsd:import namespace="ebe6a9ad-ab6a-4025-b68f-9f1b48a658ff"/>
    <xsd:element name="properties">
      <xsd:complexType>
        <xsd:sequence>
          <xsd:element name="documentManagement">
            <xsd:complexType>
              <xsd:all>
                <xsd:element ref="ns1:AverageRating" minOccurs="0"/>
                <xsd:element ref="ns1:RatingCount" minOccurs="0"/>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dexed="true"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element name="PublishingStartDate" ma:index="10" nillable="true" ma:displayName="Scheduling Start Date" ma:internalName="PublishingStartDate">
      <xsd:simpleType>
        <xsd:restriction base="dms:Unknown"/>
      </xsd:simpleType>
    </xsd:element>
    <xsd:element name="PublishingExpirationDate" ma:index="11"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e6a9ad-ab6a-4025-b68f-9f1b48a658ff"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35F7D-9956-4B8C-8FEA-6E9A56898572}">
  <ds:schemaRefs>
    <ds:schemaRef ds:uri="http://schemas.microsoft.com/sharepoint/events"/>
  </ds:schemaRefs>
</ds:datastoreItem>
</file>

<file path=customXml/itemProps2.xml><?xml version="1.0" encoding="utf-8"?>
<ds:datastoreItem xmlns:ds="http://schemas.openxmlformats.org/officeDocument/2006/customXml" ds:itemID="{CF70BF98-2591-499E-9722-52645FF4FF1D}">
  <ds:schemaRef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purl.org/dc/terms/"/>
    <ds:schemaRef ds:uri="ebe6a9ad-ab6a-4025-b68f-9f1b48a658ff"/>
    <ds:schemaRef ds:uri="http://www.w3.org/XML/1998/namespace"/>
    <ds:schemaRef ds:uri="http://schemas.microsoft.com/office/infopath/2007/PartnerControls"/>
    <ds:schemaRef ds:uri="http://schemas.microsoft.com/sharepoint/v3"/>
    <ds:schemaRef ds:uri="http://purl.org/dc/elements/1.1/"/>
  </ds:schemaRefs>
</ds:datastoreItem>
</file>

<file path=customXml/itemProps3.xml><?xml version="1.0" encoding="utf-8"?>
<ds:datastoreItem xmlns:ds="http://schemas.openxmlformats.org/officeDocument/2006/customXml" ds:itemID="{E7629D20-A374-4EBD-9868-2FF2BF573FC2}">
  <ds:schemaRefs>
    <ds:schemaRef ds:uri="http://schemas.microsoft.com/sharepoint/v3/contenttype/forms"/>
  </ds:schemaRefs>
</ds:datastoreItem>
</file>

<file path=customXml/itemProps4.xml><?xml version="1.0" encoding="utf-8"?>
<ds:datastoreItem xmlns:ds="http://schemas.openxmlformats.org/officeDocument/2006/customXml" ds:itemID="{8883D463-9CE6-452C-8A79-99FF5DBC4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e6a9ad-ab6a-4025-b68f-9f1b48a65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ABD206-79AD-43CB-832D-765957FF6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2706</Words>
  <Characters>15425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(6/99)</vt:lpstr>
    </vt:vector>
  </TitlesOfParts>
  <Company>AEDC</Company>
  <LinksUpToDate>false</LinksUpToDate>
  <CharactersWithSpaces>18095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(6/99)</dc:title>
  <dc:creator>LAN User</dc:creator>
  <cp:lastModifiedBy>Jean Noble</cp:lastModifiedBy>
  <cp:revision>19</cp:revision>
  <cp:lastPrinted>2013-07-02T20:21:00Z</cp:lastPrinted>
  <dcterms:created xsi:type="dcterms:W3CDTF">2013-07-08T18:55:00Z</dcterms:created>
  <dcterms:modified xsi:type="dcterms:W3CDTF">2019-09-10T15:09:00Z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0x0101009FF9857635226E43BEC1D098AD39D8A8</vt:lpwstr>
  </property>
  <property fmtid="{D5CDD505-2E9C-101B-9397-08002B2CF9AE}" pid="3" name="_dlc_DocIdItemGuid">
    <vt:lpwstr>9b6114f6-c0f4-4807-b925-ba6fa49afffb</vt:lpwstr>
  </property>
</Properties>
</file>